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190" w:after="283"/>
        <w:ind w:left="0" w:right="0" w:hanging="0"/>
        <w:jc w:val="center"/>
        <w:rPr>
          <w:rFonts w:ascii="Arial;Helvetica;sans-serif" w:hAnsi="Arial;Helvetica;sans-serif"/>
          <w:b/>
          <w:color w:val="000000"/>
          <w:sz w:val="28"/>
        </w:rPr>
      </w:pPr>
      <w:bookmarkStart w:id="0" w:name="ny20053807x1_pre14a_100-regcov_pg1"/>
      <w:bookmarkStart w:id="1" w:name="ny20076749x3_defa14a.htm"/>
      <w:bookmarkStart w:id="2" w:name="ksny20076749x3_defa14a"/>
      <w:bookmarkEnd w:id="0"/>
      <w:bookmarkEnd w:id="1"/>
      <w:bookmarkEnd w:id="2"/>
      <w:r>
        <w:rPr>
          <w:rFonts w:ascii="Arial;Helvetica;sans-serif" w:hAnsi="Arial;Helvetica;sans-serif"/>
          <w:b/>
          <w:color w:val="000000"/>
          <w:sz w:val="28"/>
        </w:rPr>
        <w:t xml:space="preserve">UNITED STATES 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b/>
          <w:color w:val="000000"/>
          <w:sz w:val="28"/>
        </w:rPr>
      </w:pPr>
      <w:r>
        <w:rPr>
          <w:rFonts w:ascii="Arial;Helvetica;sans-serif" w:hAnsi="Arial;Helvetica;sans-serif"/>
          <w:b/>
          <w:color w:val="000000"/>
          <w:sz w:val="28"/>
        </w:rPr>
        <w:t xml:space="preserve">SECURITIES AND EXCHANGE COMMISSION 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b/>
          <w:color w:val="000000"/>
          <w:sz w:val="24"/>
        </w:rPr>
      </w:pPr>
      <w:r>
        <w:rPr>
          <w:rFonts w:ascii="Arial;Helvetica;sans-serif" w:hAnsi="Arial;Helvetica;sans-serif"/>
          <w:b/>
          <w:color w:val="000000"/>
          <w:sz w:val="24"/>
        </w:rPr>
        <w:t xml:space="preserve">Washington, D.C. 20549 </w:t>
      </w:r>
    </w:p>
    <w:p>
      <w:pPr>
        <w:pStyle w:val="TextBody"/>
        <w:bidi w:val="0"/>
        <w:spacing w:before="210" w:after="283"/>
        <w:jc w:val="center"/>
        <w:rPr>
          <w:rFonts w:ascii="Arial;Helvetica;sans-serif" w:hAnsi="Arial;Helvetica;sans-serif"/>
          <w:b/>
          <w:color w:val="000000"/>
          <w:sz w:val="32"/>
        </w:rPr>
      </w:pPr>
      <w:r>
        <w:rPr>
          <w:rFonts w:ascii="Arial;Helvetica;sans-serif" w:hAnsi="Arial;Helvetica;sans-serif"/>
          <w:b/>
          <w:color w:val="000000"/>
          <w:sz w:val="32"/>
        </w:rPr>
        <w:t xml:space="preserve">SCHEDULE 14A 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b/>
          <w:color w:val="000000"/>
          <w:sz w:val="24"/>
        </w:rPr>
      </w:pPr>
      <w:r>
        <w:rPr>
          <w:rFonts w:ascii="Arial;Helvetica;sans-serif" w:hAnsi="Arial;Helvetica;sans-serif"/>
          <w:b/>
          <w:color w:val="000000"/>
          <w:sz w:val="24"/>
        </w:rPr>
        <w:t xml:space="preserve">(Rule 14a-101) </w:t>
      </w:r>
    </w:p>
    <w:p>
      <w:pPr>
        <w:pStyle w:val="TextBody"/>
        <w:bidi w:val="0"/>
        <w:spacing w:before="210" w:after="283"/>
        <w:jc w:val="center"/>
        <w:rPr>
          <w:rFonts w:ascii="Arial;Helvetica;sans-serif" w:hAnsi="Arial;Helvetica;sans-serif"/>
          <w:b/>
          <w:color w:val="000000"/>
          <w:sz w:val="28"/>
        </w:rPr>
      </w:pPr>
      <w:r>
        <w:rPr>
          <w:rFonts w:ascii="Arial;Helvetica;sans-serif" w:hAnsi="Arial;Helvetica;sans-serif"/>
          <w:b/>
          <w:color w:val="000000"/>
          <w:sz w:val="28"/>
        </w:rPr>
        <w:t>INFORMATION REQUIRED IN PROXY STATEMENT</w:t>
      </w:r>
    </w:p>
    <w:p>
      <w:pPr>
        <w:pStyle w:val="TextBody"/>
        <w:bidi w:val="0"/>
        <w:spacing w:before="0" w:after="283"/>
        <w:jc w:val="center"/>
        <w:rPr>
          <w:color w:val="000000"/>
        </w:rPr>
      </w:pPr>
      <w:r>
        <w:rPr>
          <w:color w:val="000000"/>
        </w:rPr>
        <w:t xml:space="preserve">  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b/>
          <w:color w:val="000000"/>
          <w:sz w:val="28"/>
        </w:rPr>
      </w:pPr>
      <w:r>
        <w:rPr>
          <w:rFonts w:ascii="Arial;Helvetica;sans-serif" w:hAnsi="Arial;Helvetica;sans-serif"/>
          <w:b/>
          <w:color w:val="000000"/>
          <w:sz w:val="28"/>
        </w:rPr>
        <w:t>SCHEDULE 14A INFORMATION</w:t>
      </w:r>
    </w:p>
    <w:p>
      <w:pPr>
        <w:pStyle w:val="TextBody"/>
        <w:bidi w:val="0"/>
        <w:spacing w:before="130" w:after="283"/>
        <w:jc w:val="center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 xml:space="preserve">Proxy Statement Pursuant to Section 14(a) of </w:t>
      </w:r>
    </w:p>
    <w:p>
      <w:pPr>
        <w:pStyle w:val="TextBody"/>
        <w:bidi w:val="0"/>
        <w:spacing w:before="0" w:after="283"/>
        <w:jc w:val="center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 xml:space="preserve">the Securities Exchange Act of 1934 </w:t>
      </w:r>
    </w:p>
    <w:p>
      <w:pPr>
        <w:pStyle w:val="TextBody"/>
        <w:bidi w:val="0"/>
        <w:spacing w:before="150" w:after="283"/>
        <w:ind w:left="0" w:right="0" w:hanging="0"/>
        <w:jc w:val="left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>Filed by the Registrant ☒</w:t>
      </w:r>
    </w:p>
    <w:p>
      <w:pPr>
        <w:pStyle w:val="TextBody"/>
        <w:bidi w:val="0"/>
        <w:spacing w:before="170" w:after="283"/>
        <w:ind w:left="0" w:right="0" w:hanging="0"/>
        <w:jc w:val="left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>Filed by a Party other than the Registrant  ☐</w:t>
      </w:r>
    </w:p>
    <w:p>
      <w:pPr>
        <w:pStyle w:val="TextBody"/>
        <w:bidi w:val="0"/>
        <w:spacing w:before="170" w:after="283"/>
        <w:ind w:left="0" w:right="0" w:hanging="0"/>
        <w:jc w:val="left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>Check the appropriate box:</w:t>
      </w:r>
    </w:p>
    <w:tbl>
      <w:tblPr>
        <w:tblW w:w="2815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2585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258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Preliminary Proxy Statement </w:t>
            </w:r>
          </w:p>
        </w:tc>
      </w:tr>
    </w:tbl>
    <w:tbl>
      <w:tblPr>
        <w:tblW w:w="7675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7400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740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b/>
                <w:color w:val="000000"/>
                <w:sz w:val="20"/>
              </w:rPr>
              <w:t>Confidential, for Use of the Commission Only (as permitted by Rule 14a-6(e)(2))</w:t>
            </w: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 </w:t>
            </w:r>
          </w:p>
        </w:tc>
      </w:tr>
    </w:tbl>
    <w:tbl>
      <w:tblPr>
        <w:tblW w:w="2755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5"/>
        <w:gridCol w:w="2420"/>
      </w:tblGrid>
      <w:tr>
        <w:trPr/>
        <w:tc>
          <w:tcPr>
            <w:tcW w:w="33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 ☐ </w:t>
            </w:r>
          </w:p>
        </w:tc>
        <w:tc>
          <w:tcPr>
            <w:tcW w:w="242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Definitive Proxy Statement </w:t>
            </w:r>
          </w:p>
        </w:tc>
      </w:tr>
    </w:tbl>
    <w:tbl>
      <w:tblPr>
        <w:tblW w:w="2935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2660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☒</w:t>
            </w:r>
          </w:p>
        </w:tc>
        <w:tc>
          <w:tcPr>
            <w:tcW w:w="266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Definitive Additional Materials </w:t>
            </w:r>
          </w:p>
        </w:tc>
      </w:tr>
    </w:tbl>
    <w:tbl>
      <w:tblPr>
        <w:tblW w:w="415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3875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38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Soliciting Material Pursuant to § 240.14a-12 </w:t>
            </w:r>
          </w:p>
        </w:tc>
      </w:tr>
    </w:tbl>
    <w:tbl>
      <w:tblPr>
        <w:tblW w:w="6675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5"/>
        <w:gridCol w:w="6365"/>
        <w:gridCol w:w="155"/>
      </w:tblGrid>
      <w:tr>
        <w:trPr/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636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  <w:tr>
        <w:trPr/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6365" w:type="dxa"/>
            <w:tcBorders>
              <w:bottom w:val="single" w:sz="8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color w:val="000000"/>
                <w:sz w:val="36"/>
              </w:rPr>
            </w:pPr>
            <w:r>
              <w:rPr>
                <w:rFonts w:ascii="Arial;Helvetica;sans-serif" w:hAnsi="Arial;Helvetica;sans-serif"/>
                <w:b/>
                <w:color w:val="000000"/>
                <w:sz w:val="36"/>
              </w:rPr>
              <w:t xml:space="preserve">Tilray Brands, Inc. </w:t>
            </w:r>
          </w:p>
        </w:tc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  <w:tr>
        <w:trPr/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63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>(Name of Registrant as Specified in its Charter)</w:t>
            </w:r>
          </w:p>
        </w:tc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  <w:tr>
        <w:trPr/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6365" w:type="dxa"/>
            <w:tcBorders>
              <w:bottom w:val="single" w:sz="8" w:space="0" w:color="000000"/>
            </w:tcBorders>
            <w:tcMar>
              <w:bottom w:w="43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  <w:tr>
        <w:trPr/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63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>(Name of Person(s) Filing Proxy Statement, if Other Than the Registrant)</w:t>
            </w:r>
          </w:p>
        </w:tc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  <w:tr>
        <w:trPr/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636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</w:tbl>
    <w:p>
      <w:pPr>
        <w:pStyle w:val="TextBody"/>
        <w:bidi w:val="0"/>
        <w:spacing w:before="130" w:after="283"/>
        <w:ind w:left="0" w:right="0" w:hanging="0"/>
        <w:jc w:val="left"/>
        <w:rPr>
          <w:rFonts w:ascii="Arial;Helvetica;sans-serif" w:hAnsi="Arial;Helvetica;sans-serif"/>
          <w:color w:val="000000"/>
          <w:sz w:val="20"/>
        </w:rPr>
      </w:pPr>
      <w:r>
        <w:rPr>
          <w:rFonts w:ascii="Arial;Helvetica;sans-serif" w:hAnsi="Arial;Helvetica;sans-serif"/>
          <w:color w:val="000000"/>
          <w:sz w:val="20"/>
        </w:rPr>
        <w:t xml:space="preserve">Payment of Filing Fee (Check the appropriate box): </w:t>
      </w:r>
    </w:p>
    <w:tbl>
      <w:tblPr>
        <w:tblW w:w="16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146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146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No fee required. </w:t>
            </w:r>
          </w:p>
        </w:tc>
      </w:tr>
    </w:tbl>
    <w:tbl>
      <w:tblPr>
        <w:tblW w:w="4375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4100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410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Fee paid previously with preliminary materials. </w:t>
            </w:r>
          </w:p>
        </w:tc>
      </w:tr>
    </w:tbl>
    <w:tbl>
      <w:tblPr>
        <w:tblW w:w="913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8855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88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color w:val="000000"/>
                <w:sz w:val="20"/>
              </w:rPr>
            </w:pPr>
            <w:r>
              <w:rPr>
                <w:rFonts w:ascii="Arial;Helvetica;sans-serif" w:hAnsi="Arial;Helvetica;sans-serif"/>
                <w:color w:val="000000"/>
                <w:sz w:val="20"/>
              </w:rPr>
              <w:t xml:space="preserve">Fee computed on table in exhibit required by Item 25(b) per Exchange Act Rules 14a-6(i)(1) and 0-11. </w:t>
            </w:r>
          </w:p>
        </w:tc>
      </w:tr>
    </w:tbl>
    <w:p>
      <w:pPr>
        <w:pStyle w:val="HorizontalLine"/>
        <w:pBdr>
          <w:bottom w:val="single" w:sz="12" w:space="0" w:color="808080"/>
        </w:pBdr>
        <w:bidi w:val="0"/>
        <w:spacing w:before="200" w:after="20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t> </w:t>
      </w:r>
      <w:r>
        <w:rPr>
          <w:color w:val="000000"/>
        </w:rPr>
        <w:drawing>
          <wp:inline distT="0" distB="0" distL="0" distR="0">
            <wp:extent cx="6905625" cy="83820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5625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6905625" cy="882015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5625" cy="882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3" w:name="ny20053807x1_pre14a_104-qa_pg3"/>
      <w:bookmarkStart w:id="4" w:name="ny20053807x1_pre14a_104-qa_pg3"/>
      <w:bookmarkEnd w:id="4"/>
      <w:r>
        <w:br w:type="page"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143</Words>
  <Characters>788</Characters>
  <CharactersWithSpaces>943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