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70"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001-38594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82-4310622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980" w:space="720"/>
            <w:col w:w="3320" w:space="720"/>
            <w:col w:w="2500"/>
          </w:cols>
          <w:pgMar w:left="320" w:top="570" w:right="339" w:bottom="1440" w:gutter="0" w:footer="0" w:header="0"/>
          <w:type w:val="continuous"/>
        </w:sectPr>
      </w:pPr>
    </w:p>
    <w:p>
      <w:pPr>
        <w:spacing w:after="0" w:line="21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265 Talbot Street West, Leamington, Ontario, Canada</w:t>
      </w:r>
    </w:p>
    <w:p>
      <w:pPr>
        <w:spacing w:after="0" w:line="4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N8H 5L4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7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845-7291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32"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80" w:type="dxa"/>
            <w:vAlign w:val="bottom"/>
          </w:tcPr>
          <w:p>
            <w:pPr>
              <w:spacing w:after="0"/>
              <w:rPr>
                <w:sz w:val="18"/>
                <w:szCs w:val="18"/>
                <w:color w:val="auto"/>
              </w:rPr>
            </w:pPr>
          </w:p>
        </w:tc>
      </w:tr>
      <w:tr>
        <w:trPr>
          <w:trHeight w:val="245"/>
        </w:trPr>
        <w:tc>
          <w:tcPr>
            <w:tcW w:w="4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0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TLRY</w:t>
            </w:r>
          </w:p>
        </w:tc>
        <w:tc>
          <w:tcPr>
            <w:tcW w:w="12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33"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On April 15, 2026 Tilray Brands,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Tilray</w:t>
      </w:r>
      <w:r>
        <w:rPr>
          <w:rFonts w:ascii="Times New Roman" w:cs="Times New Roman" w:eastAsia="Times New Roman" w:hAnsi="Times New Roman"/>
          <w:sz w:val="18"/>
          <w:szCs w:val="18"/>
          <w:color w:val="auto"/>
        </w:rPr>
        <w:t>”) entered into an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with Jefferies LLC, TD Securities (USA) LLC and Roth Capital Partners, LLC (each,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pursuant to which the Company may offer and sell shares of the Company’s common stock, par value US$0.0001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offering price of up to $180,000,000 from time to time through the Agents, acting as sales agents, or directly to the Agents, acting as principals.</w:t>
      </w:r>
    </w:p>
    <w:p>
      <w:pPr>
        <w:spacing w:after="0" w:line="19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Sales of the Common Stock, if any, under the Sales Agreement will be made by any method that is deemed to be an “at the market offering” as defined in Rule 415(a)(4) under the Securities Act of 1933, as amended, including, but not limited to, sales made directly on or through The Nasdaq Global Select Market or any other existing trading market for the Common Stock. The Company has no obligation to sell any of the Common Stock and may at any time suspend offers under the Sales Agreement or terminate the Sales Agreement. The offering of shares of Common Stock pursuant to the Sales Agreement will terminate upon the earlier of (i) the sale of all Common Stock subject to the Sales Agreement or (ii) termination of the Sales Agreement in accordance with its terms.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Sales Agreement, the Agents will use their commercially reasonable efforts to sell the Common Stock from time to time, as the sales agents, based upon the Company’s instructions. The Company may sell shares of its Common Stock through only one Agent on any particular trading day. No sales of the Common Stock under the Sales Agreement will be made in Canada, to anyone known by the Agents to be a resident of Canada or over or through the facilities of the Toronto Stock Exchange.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provided customary representations, warranties and covenants, and the parties have agreed to indemnification rights. Each Agent will be entitled to a commission of up to 3% of the gross proceeds for each sale of the Common Stock made through or to such Agent from time to time under the Sales Agreement.</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description of the Sales Agreement does not purport to be complete and is qualified in its entirety by reference to the terms of the Sales Agreement, which is attached as Exhibit 1.1 to this Current Report on Form 8-K and is incorporated by reference herein.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Common Stock to be sold under the Sales Agreement, if any, will be offered and sold pursuant to the Company’s shelf registration statement on Form S-3 (File No. 333-290806),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9, 2025, which became effective immediately upon filing. On April 15, 2026, the Company filed a prospectus supplement with the SEC in connection with the offer and sale of the Common Stock pursuant to the Sales Agreement. This Current Report on Form 8-K shall not constitute an offer to sell or the solicitation of an offer to buy the Common Stock nor shall there be any sale of the Common Stock in any state or jurisdiction in which such offer, solicitation or sale would be unlawful prior to registration or qualification under the securities laws of any such state or other jurisdiction.</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legal opinion of DLA Piper LLP (US) relating to the Common Stock being offered pursuant to the Sales Agreement is filed as Exhibit 5.1 to this Current Report on Form 8-K.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20" w:type="dxa"/>
            <w:vAlign w:val="bottom"/>
          </w:tcPr>
          <w:p>
            <w:pPr>
              <w:spacing w:after="0"/>
              <w:rPr>
                <w:sz w:val="18"/>
                <w:szCs w:val="18"/>
                <w:color w:val="auto"/>
              </w:rPr>
            </w:pPr>
          </w:p>
        </w:tc>
      </w:tr>
      <w:tr>
        <w:trPr>
          <w:trHeight w:val="245"/>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3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3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Sales Agreement, dated as of April 15, 2026 by and among Tilray Brands, Inc. and Jefferies LLC, TD Securities (USA) LLC and Roth Capital</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Partners, LLC</w:t>
            </w: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Opinion of DLA Piper LLP (US)</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DLA Piper LLP (US) (included in Exhibit 5.1)</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Press Release of Tilray Brands, Inc., dated April 15, 2026</w:t>
            </w: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580" w:val="left"/>
          <w:tab w:leader="none" w:pos="6020" w:val="left"/>
        </w:tabs>
        <w:rPr>
          <w:sz w:val="20"/>
          <w:szCs w:val="20"/>
          <w:color w:val="auto"/>
        </w:rPr>
      </w:pPr>
      <w:r>
        <w:rPr>
          <w:rFonts w:ascii="Times New Roman" w:cs="Times New Roman" w:eastAsia="Times New Roman" w:hAnsi="Times New Roman"/>
          <w:sz w:val="18"/>
          <w:szCs w:val="18"/>
          <w:color w:val="auto"/>
        </w:rPr>
        <w:t>Date: April 15, 2026</w:t>
      </w:r>
      <w:r>
        <w:rPr>
          <w:sz w:val="20"/>
          <w:szCs w:val="20"/>
          <w:color w:val="auto"/>
        </w:rPr>
        <w:tab/>
      </w:r>
      <w:r>
        <w:rPr>
          <w:rFonts w:ascii="Times New Roman" w:cs="Times New Roman" w:eastAsia="Times New Roman" w:hAnsi="Times New Roman"/>
          <w:sz w:val="18"/>
          <w:szCs w:val="18"/>
          <w:color w:val="auto"/>
        </w:rPr>
        <w:t>By:</w:t>
        <w:tab/>
        <w:t>/s/ Mitchell Gendel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0095" cy="17145"/>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Mitchell Gendel</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Global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OPEN MARKET SALE AGREEMENT</w:t>
      </w:r>
      <w:r>
        <w:rPr>
          <w:rFonts w:ascii="Times New Roman" w:cs="Times New Roman" w:eastAsia="Times New Roman" w:hAnsi="Times New Roman"/>
          <w:sz w:val="29"/>
          <w:szCs w:val="29"/>
          <w:b w:val="1"/>
          <w:bCs w:val="1"/>
          <w:color w:val="auto"/>
          <w:vertAlign w:val="superscript"/>
        </w:rPr>
        <w:t>SM</w:t>
      </w:r>
    </w:p>
    <w:p>
      <w:pPr>
        <w:spacing w:after="0" w:line="11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Tilray Brands,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TD Securities (USA) LLC and Roth Capital Partners, LLC, as sales agents and/or principals (each, an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shares of the Company’s common stock, par value $0.0001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having an aggregate offering price of up to $180,000,000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229" w:lineRule="exact"/>
        <w:rPr>
          <w:sz w:val="20"/>
          <w:szCs w:val="20"/>
          <w:color w:val="auto"/>
        </w:rPr>
      </w:pPr>
    </w:p>
    <w:p>
      <w:pPr>
        <w:ind w:firstLine="656"/>
        <w:spacing w:after="0" w:line="282" w:lineRule="auto"/>
        <w:tabs>
          <w:tab w:leader="none" w:pos="13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Period</w:t>
      </w:r>
      <w:r>
        <w:rPr>
          <w:rFonts w:ascii="Times New Roman" w:cs="Times New Roman" w:eastAsia="Times New Roman" w:hAnsi="Times New Roman"/>
          <w:sz w:val="18"/>
          <w:szCs w:val="18"/>
          <w:color w:val="auto"/>
        </w:rPr>
        <w:t xml:space="preserve">” means the period commencing on the date of this Agreement and expiring on the earliest to occur of (x) the date on which the Agents shall have placed the Maximum Program Amount pursuant to this Agreement and (y) the date this Agreement is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16370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Designated Agent (as defined below) shall not sell Shares during the applicable period set forth in the applicable Issuance Notice, which may be adjusted by the Company at any time during the period set forth in the applicable Issuance Notice by delivering written notice of such change to the Designated Agent and which in no event shall be less than $1.00 without the prior written consent of the Designated Agent, which may be withheld in the Designated Agent sole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Designated Agent pursuant to any Issuance Notice.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 written notice delivered to the Designated Agent by the Company in accordance with this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that is executed by its Chief Executive Officer, President or Chief Financial Officer.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delivered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Select Market or such other national securities exchange on which the Common Shares, including any Shares, are then listed.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Designated Agent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three percent (3.0%) of the gross proceeds of Shares sold pursuant to this Agreement, or as otherwise agreed between the Company and the Agents with respect to any Shares sold pursuant to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first business day following each Trading Day during the period set forth in the Issuance Notice on which Shares are sold pursuant to this Agreement, when the Company shall deliver to the Agents the number of Shares sold on such Trading Day and the Agents shall deliver to the Company the Issuance Price received on such sales</w:t>
      </w:r>
      <w:r>
        <w:rPr>
          <w:rFonts w:ascii="Times New Roman" w:cs="Times New Roman" w:eastAsia="Times New Roman" w:hAnsi="Times New Roman"/>
          <w:sz w:val="18"/>
          <w:szCs w:val="18"/>
          <w:u w:val="single" w:color="auto"/>
          <w:color w:val="0000FF"/>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shall mean the Company’s Common Shares issued or issuable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REPRESENTATIONS AND WARRANTIES OF THE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represents and warrants to, and agrees with, the Agents that as of (1) the date of this Agreement, (2) each Issuance Notice Date, (3) each Settlement Date, (4) each Triggering Event Date and (5) as of each Time of Sale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supplements thereto) on or before a Representation Date:</w:t>
      </w:r>
    </w:p>
    <w:p>
      <w:pPr>
        <w:spacing w:after="0" w:line="180" w:lineRule="exact"/>
        <w:rPr>
          <w:sz w:val="20"/>
          <w:szCs w:val="20"/>
          <w:color w:val="auto"/>
        </w:rPr>
      </w:pPr>
    </w:p>
    <w:p>
      <w:pPr>
        <w:jc w:val="both"/>
        <w:ind w:firstLine="656"/>
        <w:spacing w:after="0" w:line="252" w:lineRule="auto"/>
        <w:tabs>
          <w:tab w:leader="none" w:pos="133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Commission a shelf registration statement on Form S-3 (File No. 333-267788)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Agents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Agents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 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the Registration Statement was or will be originally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0" w:lineRule="exact"/>
        <w:rPr>
          <w:sz w:val="20"/>
          <w:szCs w:val="20"/>
          <w:color w:val="auto"/>
        </w:rPr>
      </w:pPr>
    </w:p>
    <w:p>
      <w:pPr>
        <w:jc w:val="both"/>
        <w:ind w:firstLine="656"/>
        <w:spacing w:after="0" w:line="258" w:lineRule="auto"/>
        <w:tabs>
          <w:tab w:leader="none" w:pos="12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3"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The Prospectus when filed complied in all material respects with the Securities Act and, if filed with the Commission through EDGAR (except as may be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 under the Securities Act), was identical to the copy thereof delivered to the Agents for use in connection with the issuance and sale of the Shares. Each of the Registration Statement, any Rule 462(b) Registration Statement and any post-effective amendment thereto, at the time it became effective and as of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as of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56"/>
        <w:spacing w:after="0" w:line="253" w:lineRule="auto"/>
        <w:tabs>
          <w:tab w:leader="none" w:pos="13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Ineligible Issuer Status</w:t>
      </w:r>
      <w:r>
        <w:rPr>
          <w:rFonts w:ascii="Times New Roman" w:cs="Times New Roman" w:eastAsia="Times New Roman" w:hAnsi="Times New Roman"/>
          <w:sz w:val="18"/>
          <w:szCs w:val="18"/>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you before first use, the Company has not prepared, used or referred to, and will not, without your prior consent, prepare, use or refer to, any Free Writing Prospectus.</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firstLine="656"/>
        <w:spacing w:after="0" w:line="266" w:lineRule="auto"/>
        <w:tabs>
          <w:tab w:leader="none" w:pos="1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The statistical, demographic and market-related data included in the Registration Statement and the Prospectus are based on or derived from sources that the Company believes to be reliable and accurate in all material respects or represent the Company’s good faith estimates that are made on the basis of data derived from such sources.</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Except as otherwise disclosed in the Registration Statement and Prospectus, the Company has established and maintains disclosure controls and procedures (as defined in Rules 13a-15 and 15d-15 under the Exchange Act), which (i) are designed to ensure that material information relating to the Company, including its consolidated Subsidiaries (as defined herein),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9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Shares</w:t>
      </w:r>
      <w:r>
        <w:rPr>
          <w:rFonts w:ascii="Times New Roman" w:cs="Times New Roman" w:eastAsia="Times New Roman" w:hAnsi="Times New Roman"/>
          <w:sz w:val="18"/>
          <w:szCs w:val="18"/>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56"/>
        <w:spacing w:after="0" w:line="253" w:lineRule="auto"/>
        <w:tabs>
          <w:tab w:leader="none" w:pos="13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Subsequent to the respective dates as of which information is contained in the Registration Statement and the Prospectus, except as disclosed in the Registration Statement and the Prospectus, (i) neither the Company nor any of the Subsidiaries has incurred any liabilities or obligation,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the Subsidiaries, taken as a whole, or has entered into any transactions material, individually or in the aggregate, to the Company’s business and operations on a consolidated basis, not in the ordinary course of business, (ii) there has not been any material decrease in the capital stock or any material increase in any short-term or long-term indebtedness of the Company or the Subsidiaries, or any payment of or declaration to pay any dividends or any other distribution with respect to the Company, and (iii) there has not been any material adverse change, or any development that could reasonably be expected to result in a material adverse change, in the properties, business, operations, earnings, assets, liabilities or condition (financial or otherwise) of the Company and the Subsidiaries, taken as a whole (each of clauses (i), (ii) and (iii),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PricewaterhouseCoopers LLP, which has expressed its opinion with respect to the financial statements (which term as used in this Agreement includes the related notes thereto) filed with the Commission as a part of the Registration Statement and the Prospectus, is</w:t>
      </w:r>
    </w:p>
    <w:p>
      <w:pPr>
        <w:jc w:val="both"/>
        <w:ind w:firstLine="8"/>
        <w:spacing w:after="0" w:line="253"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38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as a part of the Registration Statement and the Prospectus present fairly, in all material respects, the consolidated financial position of the Company and the Subsidiaries as of the dates indicated and the results of their operations, changes in stockholders’ equity and cash flows for the periods specified. The supporting schedules included in the Registration Statement present fairly the information required to be stated therein. Such financial statements have been prepared in conformity with generally accepted accounting principles as applied in the United States applied on a consistent basis throughout the periods involved, except as may be expressly stated in the related notes thereto and except in the case of unaudited, interim financial statements, normal year-end adjustments and the omission of certain footnotes as permitted by applicable rules of the Commission and any supporting schedules included in the Registration Statement.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656"/>
        <w:spacing w:after="0" w:line="254" w:lineRule="auto"/>
        <w:tabs>
          <w:tab w:leader="none" w:pos="13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the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and Good Standing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and each of the Company’s “subsidiaries” (for purposes of this Agreement, as defined in Rule 405 under the Securities Act)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(i) has been duly organized or formed, as the case may be, is validly existing and is in good standing under the laws of its jurisdiction of organization, (ii) has all requisite power and authority to carry on its business and to own, lease and operate its properties and assets as described in the Registration Statement and the Prospectus and (iii) is duly qualified or licensed to do business and is in good standing as a foreign corporation, partnership or other entity as the case may be, authorized to do business in each jurisdiction in which the nature of such businesses or the ownership or leasing of such properties requires such qualification, except, in each instance, where the failure to do so or to be so would not, individually or in the aggregate, have a material adverse effect on (A) the properties, business, operations, earnings, assets, liabilities or condition (financial or otherwise) of the Company and the Subsidiaries, taken as a whole, (B) the ability of the Company or any Subsidiary to perform its obligations in all material respects under this Agreement, (C) the validity or enforceability of this Agreement, or (D) the consummation of the issuance and sale of the Shares (each material adverse effect described in clauses (A) - (D),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Each material corporation, partnership or other entity in which the Company, directly or indirectly through any of its Subsidiaries, owns more than fifty percent (50%) of any class of equity securities or interests is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 Other than the Subsidiaries listed on Schedule B, the Company has no direct or indirect subsidiary nor any investment in any person which is material to the business and affairs of the Company or which otherwise is required to be disclosed in the Registration Statement and the Prospectus. All of the issued and outstanding capital stock or other equity or ownership interests of each of the Company’s subsidiaries are owned by the Company, directly or through subsidiaries, free and clear of security interest.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656"/>
        <w:spacing w:after="0" w:line="253" w:lineRule="auto"/>
        <w:tabs>
          <w:tab w:leader="none" w:pos="13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Subsidiary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the information required to be shown with respect to such plans, arrangements, options and rights.</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3" w:lineRule="exact"/>
        <w:rPr>
          <w:rFonts w:ascii="Times New Roman" w:cs="Times New Roman" w:eastAsia="Times New Roman" w:hAnsi="Times New Roman"/>
          <w:sz w:val="18"/>
          <w:szCs w:val="18"/>
          <w:color w:val="auto"/>
        </w:rPr>
      </w:pPr>
    </w:p>
    <w:p>
      <w:pPr>
        <w:jc w:val="both"/>
        <w:ind w:firstLine="656"/>
        <w:spacing w:after="0" w:line="251" w:lineRule="auto"/>
        <w:tabs>
          <w:tab w:leader="none" w:pos="137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the Subsidiaries is (i) in violation of its articles of incorporation, by-laws or other organizational documents (the “</w:t>
      </w: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(ii) in violation of any U.S., Canadian or foreign federal, state, provincial, or local statute, law (including, without limitation, common law) or ordinance, or any judgment, decree, rule, regulation, order or injunction (collectively, “</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of any U.S. or non-U.S. federal, state, provincial, local or other governmental or regulatory authority, governmental or regulatory agency or body, court, arbitrator or self-regulatory organization (including Health Canada or any comparable federal, provincial, state, municipal, local or foreign governmental bodies in Canada or any other country, in each case with jurisdiction over the Company or the Subsidiaries) (each, a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applicable to any of them or any of their respective properties; or (iii) in breach of or default under any bond, debenture, note, loan or other evidence of indebtedness, indenture, mortgage, deed of trust, lease or any other agreement or instrument to which any of them is a party or by which any of them or their respective property is bound (collectively, the “</w:t>
      </w:r>
      <w:r>
        <w:rPr>
          <w:rFonts w:ascii="Times New Roman" w:cs="Times New Roman" w:eastAsia="Times New Roman" w:hAnsi="Times New Roman"/>
          <w:sz w:val="18"/>
          <w:szCs w:val="18"/>
          <w:b w:val="1"/>
          <w:bCs w:val="1"/>
          <w:color w:val="auto"/>
        </w:rPr>
        <w:t>Existing Instruments</w:t>
      </w:r>
      <w:r>
        <w:rPr>
          <w:rFonts w:ascii="Times New Roman" w:cs="Times New Roman" w:eastAsia="Times New Roman" w:hAnsi="Times New Roman"/>
          <w:sz w:val="18"/>
          <w:szCs w:val="18"/>
          <w:color w:val="auto"/>
        </w:rPr>
        <w:t>”), except, in the case of clauses (ii) and (iii) for such violations, breaches or defaults that would not, individually or in the aggregate, reasonably be expected to have a Material Adverse Effect. All Existing Instruments are in full force and effect and are legal, valid and binding obligations, other than as disclosed in the Registration Statement and the Prospectus. There exists no condition that, with the passage of time or otherwise, would constitute (a) a violation of such Charter Documents or Applicable Law, (b) a breach of or default or a “Debt Repayment Triggering Event” (as defined below) under any Existing Instruments. As used herein,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the Subsidiaries or any of their respective properties. Neither the execution, delivery or performance of this Agreement nor the consummation of the sales of the Shares hereunder (including the use of proceeds from the sale of the Shares as described in the Prospectus under the caption “Use of Proceeds”) will conflict with, violate, constitute a breach of or a default (with the passage of time or otherwise) or a Debt Repayment Triggering Event under, or result in the imposition of a lien on any assets of the Company or any of the Subsidiaries, the imposition of any penalty or a Debt Repayment Triggering Event under or pursuant to (i) the Charter Documents,</w:t>
      </w:r>
    </w:p>
    <w:p>
      <w:pPr>
        <w:spacing w:after="0" w:line="8" w:lineRule="exact"/>
        <w:rPr>
          <w:rFonts w:ascii="Times New Roman" w:cs="Times New Roman" w:eastAsia="Times New Roman" w:hAnsi="Times New Roman"/>
          <w:sz w:val="18"/>
          <w:szCs w:val="18"/>
          <w:color w:val="auto"/>
        </w:rPr>
      </w:pPr>
    </w:p>
    <w:p>
      <w:pPr>
        <w:jc w:val="both"/>
        <w:ind w:firstLine="8"/>
        <w:spacing w:after="0" w:line="253" w:lineRule="auto"/>
        <w:tabs>
          <w:tab w:leader="none" w:pos="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Instrument, (iii) any Applicable Law or (iv) any order, writ, judgment, injunction, decree, determination or award binding upon or affecting the Company. No consent, approval, authorization, order, filing, qualification or registration of or with any Governmental Authority or third party is required for execution, delivery or performance of this Agreement or the consummation of the sale of the Shares hereunder, except such (i) those that have been granted or made, as the case may be, that are in full force and effect and (ii) as may be required under the U.S. federal or state securities or “blue sky” laws applicable to the purchase and sale of the Shares hereunder.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56"/>
        <w:spacing w:after="0" w:line="261" w:lineRule="auto"/>
        <w:tabs>
          <w:tab w:leader="none" w:pos="13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Prospectuses, there is no action, claim, suit, demand, hearing, notice of violation or deficiency, or proceeding pending or, to the knowledge of the Company or any of the Subsidiaries, threatened in writing by Governmental Authorities or threatened in writing by others that would, individually or in the aggregate, have a Material Adverse Effect or adversely affect the consummation of the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disclosed in the Prospectus, to the Company’s knowledge: (i) the Company and the Subsidiaries own, or have obtained valid and enforceable licenses for, the inventions, patent applications, patents, trademarks, trade names, service names, copyrights, trade secrets and other intellectual property described in the Prospectus as being owned or licensed by them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the conduct of its business in all material respects; and (ii) there is no U.S. or Canadian patent that to the knowledge of the Company contains claims that dominate or may dominate any Intellectual Property or that interferes with any such Intellectual Property except, in the case of clause (ii), as would not have a Material Adverse Effect. Except as disclosed in the Prospectus, the Company is not obligated to pay a material royalty grant or license, or provide other material consideration to any third party in connection with the Intellectual Property. Except as disclosed in the Prospectus and other than trademark oppositions which arise in the normal course of trademark prosecution, there is no pending or, to the Company’s knowledge, threatened action, suit, proceeding or claim by others: (A) challenging the Company’s rights in or to any Intellectual Property; (B) challenging the validity, enforceability or scope of any Intellectual Property; or (C) asserting that the Company or any of the Subsidiaries infringes or otherwise violates, or would, upon the commercialization of any product or service described in the Prospectus as under development, infringe or violate, any patent, trademark, trade name, service name, copyright, trade secret or other proprietary rights of others. The Company and the Subsidiaries have complied, in all material respects, with the terms of each agreement pursuant to which Intellectual Property has been licensed to the Company or any Subsidiary, and all such agreements are in full force and effect.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656"/>
        <w:spacing w:after="0" w:line="253" w:lineRule="auto"/>
        <w:tabs>
          <w:tab w:leader="none" w:pos="13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Except as otherwise disclosed in the Prospectus, the Company and each subsidiary possess such valid and current certificates, authorizations or permits required by state, federal or foreign regulatory agencies or bodies (including Health Canada) presently required or necessary to own or lease, as the case may be, and to operate its properties and to carry on its businesses as now conducted as described in the Registration Statement and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the failure to possess such Permits would not, individually or in the aggregate, have a Material Adverse Effect; each of the Company and the Subsidiaries has fulfilled and performed all of its obligations with respect to any such Permits, except where the failure to have fulfilled or performed such Permits would not, individually or in the aggregate, have a Material Adverse Effect; no event has occurred which allows, or after notice or lapse of time would allow, revocation or termination of any such Permit or has resulted, or after notice or lapse of time would, except where such revocation, termination or impairment would not, individually or in the aggregate, have a Material Adverse Effect result, in any other material impairment of the rights of the holder of any Permit; and none of the Company or the Subsidiaries has received or has any reason to believe it will receive any notice of any proceeding relating to revocation or modification of any Permit, except, in each instance, as described in the Registration Statement and the Prospectus or except where such revocation or modification would not, individually or in the aggregate, have a Material Adverse Effect.</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Properties</w:t>
      </w:r>
      <w:r>
        <w:rPr>
          <w:rFonts w:ascii="Times New Roman" w:cs="Times New Roman" w:eastAsia="Times New Roman" w:hAnsi="Times New Roman"/>
          <w:sz w:val="18"/>
          <w:szCs w:val="18"/>
          <w:color w:val="auto"/>
        </w:rPr>
        <w:t>. Each of the Company and the Subsidiaries has good, marketable and valid title to all real property owned by it and good title to all personal property owned by it and good and valid title to all leasehold estates in real and personal property being leased by it, free and clear of any security interests, mortgages, liens, encumbrances, equities, adverse claims and other defects, except as disclosed in the Prospectus or as would not reasonably be expected, individually or in the aggregate, to materially affect the value of such property or interfere with the use thereof. All Existing Instruments to which the Company or any of the Subsidiaries is a party or by which any of them is bound are valid and enforceable against each of the Company or such Subsidiary, as applicable, and are valid and enforceable against the other party or parties thereto and are in full force and effect (A) with only such exceptions as would not, individually or in the aggregate, have a Material Adverse Effect and (B) except that the enforcement thereof may be subject to (i) bankruptcy, insolvency, winding-up, arrangement, reorganization, receivership, moratorium, fraudulent conveyance, fraudulent transfer or other similar laws now or hereafter in effect relating to creditors’ rights generally and (ii) general principles of equity (whether applied by a court of law or equity) and the discretion of the court before which any proceeding therefor may be brought.</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37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Law Compliance</w:t>
      </w:r>
      <w:r>
        <w:rPr>
          <w:rFonts w:ascii="Times New Roman" w:cs="Times New Roman" w:eastAsia="Times New Roman" w:hAnsi="Times New Roman"/>
          <w:sz w:val="18"/>
          <w:szCs w:val="18"/>
          <w:color w:val="auto"/>
        </w:rPr>
        <w:t>. All Tax (as hereinafter defined) returns required to be filed by the Company and each of the Subsidiaries have been filed and all such returns are true, complete and correct in all material respects. All material Taxes that are due from the Company and the Subsidiaries have been paid other than those (i) currently payable without penalty or interest or (ii) being contested in good faith and by appropriate proceedings and for which adequate accruals have been established in accordance with generally accepted accounting principles in the United States applied on a consistent basis throughout the periods involved. To the knowledge of the Company, after due inquiry, there are no actual or proposed Tax assessments against the Company or any of the Subsidiaries that would, individually or in the aggregate, have a Material Adverse Effect. The accruals on the books and records of the Company and the Subsidiaries in respect of any material Tax liability for any period not finally determined are adequate to meet any assessments of Tax for any such period. For purposes of this Agreement, the term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U.S., Canadian and other non-U.S. federal, state, provincial, local and taxes, and other assessments of a similar nature (whether imposed directly or through withholding), including any interest, additions to tax or penalties applicable thereto.</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56"/>
        <w:spacing w:after="0" w:line="258" w:lineRule="auto"/>
        <w:tabs>
          <w:tab w:leader="none" w:pos="13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xml:space="preserve"> The Company has been advised of the Investment Company Act of 1940, as amended, and the rules and regulations of the Commission thereunder (collectively,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as of the date hereof and, after giving effect to the sale of the Shares hereunder and the application of the proceeds therefrom as described under “Use of Proceeds” in the Prospectus, each of the Company and the Subsidiaries is not and will not be, individually or on a consolidated basis, an “investment company” that is required to be registered under the Investment Company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2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disclosed in the Prospectus, each of the Company and the Subsidiaries are insured against such losses and risks and in such amounts as are commercially reasonable, and customary in the businesses in which they are engaged. All policies of insurance insuring the Company or any of the Subsidiaries or their respective businesses, assets, employees, officers and directors are, in full force and effect. The Company and the Subsidiaries are in compliance with the terms of such policies and instruments in all material respects, and there are no claims by the Company or any of the Subsidiaries under any such policy or instrument as to which any insurance company is denying liability or defending under a reservation of rights clause.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have a Material Adverse Effect.</w:t>
      </w:r>
    </w:p>
    <w:p>
      <w:pPr>
        <w:spacing w:after="0" w:line="192" w:lineRule="exact"/>
        <w:rPr>
          <w:sz w:val="20"/>
          <w:szCs w:val="20"/>
          <w:color w:val="auto"/>
        </w:rPr>
      </w:pPr>
    </w:p>
    <w:p>
      <w:pPr>
        <w:jc w:val="both"/>
        <w:ind w:firstLine="656"/>
        <w:spacing w:after="0" w:line="261" w:lineRule="auto"/>
        <w:tabs>
          <w:tab w:leader="none" w:pos="1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Subsidiary has taken, directly or indirectly, any action designed to or that might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Common Shares, whether to facilitate the sale or resale of the Shares or otherwise, and has taken no action which would directly or indirectly violate Regulation M.</w:t>
      </w:r>
    </w:p>
    <w:p>
      <w:pPr>
        <w:spacing w:after="0" w:line="179" w:lineRule="exact"/>
        <w:rPr>
          <w:rFonts w:ascii="Times New Roman" w:cs="Times New Roman" w:eastAsia="Times New Roman" w:hAnsi="Times New Roman"/>
          <w:sz w:val="18"/>
          <w:szCs w:val="18"/>
          <w:color w:val="auto"/>
        </w:rPr>
      </w:pPr>
    </w:p>
    <w:p>
      <w:pPr>
        <w:ind w:right="20" w:firstLine="656"/>
        <w:spacing w:after="0" w:line="282" w:lineRule="auto"/>
        <w:tabs>
          <w:tab w:leader="none" w:pos="13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Subsidiary or any other person required to be described in the Registration Statement or the Prospectus which have not been described as required.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by the Company to the Agents or to counsel for the Agents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by the Company to FINRA pursuant to FINRA Rules or NASD Conduct Rules is true, complete and correct in all material respects. The Company meets the requirements for use of Form S-3 under the Securities Act specified in FINRA Rule 5110(b)(7)(C)(i).</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56"/>
        <w:spacing w:after="0" w:line="261" w:lineRule="auto"/>
        <w:tabs>
          <w:tab w:leader="none" w:pos="12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Except as otherwise disclosed in the Prospectus, neither the Company nor any Subsidiary nor, to the best of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Each of the Company and the Subsidiaries is (i) in compliance with any and all applicable Canadian and Unites States federal, state and local laws and regulations relating to health and safety, or the pollution or the protection of the environment or hazardous or toxic substances of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has received and is in compliance with all permits, licenses or other approvals required of them under applicable Environmental Laws to conduct its respective businesses and (iii) has not received notice of, and is not aware of, any actual or potential liability for damages to natural resources or the investigation or remediation of any disposal, release or existence of hazardous or toxic substances or wastes, pollutants or contaminants, in each case except where such non-compliance with Environmental Laws, failure to receive and comply with required permits, licenses or other approvals, or liability would not, individually or in the aggregate, have a Material Adverse Effect. Neither the Company nor any of the Subsidiaries has been named as a potentially responsible party under Environmental Laws requiring the Company or any of the Subsidiaries to investigate or remediate any pollutants or contaminants, except where such requirements would not, individually or in the aggregate, have a Material Adverse Effect, whether or not arising from transactions in the ordinary course of business.</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12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Review of Costs of Environmental Compliance</w:t>
      </w:r>
      <w:r>
        <w:rPr>
          <w:rFonts w:ascii="Times New Roman" w:cs="Times New Roman" w:eastAsia="Times New Roman" w:hAnsi="Times New Roman"/>
          <w:sz w:val="18"/>
          <w:szCs w:val="18"/>
          <w:color w:val="auto"/>
        </w:rPr>
        <w:t>. In the ordinary course of its business, the Company conducts a periodic review of the effect of Environmental Laws on the business, operations and properties of the Company and the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 Looking Statements</w:t>
      </w:r>
      <w:r>
        <w:rPr>
          <w:rFonts w:ascii="Times New Roman" w:cs="Times New Roman" w:eastAsia="Times New Roman" w:hAnsi="Times New Roman"/>
          <w:sz w:val="18"/>
          <w:szCs w:val="18"/>
          <w:color w:val="auto"/>
        </w:rPr>
        <w:t>. With respect to forward-looking information contained or incorporated by reference in the Registration Statement and the Prospectus: (i) the Company had a reasonable basis for the forward-looking information at the time the disclosure was made; (ii) all forward-looking information is identified as such, and all such documents caution users of forward-looking information that actual results may vary from the forward-looking information; (iii) all future-oriented financial information and each financial outlook: (A) presents fully, fairly and correctly in all material respects the then-expected results of the operations for the periods covered thereby; and (B) is based on assumptions that are reasonable in the circumstances; and (iv) is limited, in the Company’s reasonable judgment, to a period for which the information in the future-oriented financial information or financial outlook can be reasonably estimated.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56"/>
        <w:spacing w:after="0" w:line="254" w:lineRule="auto"/>
        <w:tabs>
          <w:tab w:leader="none" w:pos="12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 Employee Plans</w:t>
      </w:r>
      <w:r>
        <w:rPr>
          <w:rFonts w:ascii="Times New Roman" w:cs="Times New Roman" w:eastAsia="Times New Roman" w:hAnsi="Times New Roman"/>
          <w:sz w:val="18"/>
          <w:szCs w:val="18"/>
          <w:color w:val="auto"/>
        </w:rPr>
        <w:t>. Neither the Company, nor the Subsidiaries is subject to the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with respect to each “pension plan” (as defined in Section 3(2) of ERISA), which the Company, the Subsidiaries sponsors or maintains, or with respect to which it has (or within the last three years had) any obligation to make contributions. Each material plan for bonus, stock purchase, profit sharing, stock option, deferred compensation, severance or termination pay, insurance, medical, hospital, dental, vision care, drug, sick leave, disability, salary continuation, legal benefits, unemployment benefits, vacation, incentive or otherwise contributed to, or required to be contributed to, by the Company or the Subsidiaries for the benefit of any current or former director, officer or employee of the Company or any Subsidiary, as applicable (the “</w:t>
      </w:r>
      <w:r>
        <w:rPr>
          <w:rFonts w:ascii="Times New Roman" w:cs="Times New Roman" w:eastAsia="Times New Roman" w:hAnsi="Times New Roman"/>
          <w:sz w:val="18"/>
          <w:szCs w:val="18"/>
          <w:b w:val="1"/>
          <w:bCs w:val="1"/>
          <w:color w:val="auto"/>
        </w:rPr>
        <w:t>Employee Plans</w:t>
      </w:r>
      <w:r>
        <w:rPr>
          <w:rFonts w:ascii="Times New Roman" w:cs="Times New Roman" w:eastAsia="Times New Roman" w:hAnsi="Times New Roman"/>
          <w:sz w:val="18"/>
          <w:szCs w:val="18"/>
          <w:color w:val="auto"/>
        </w:rPr>
        <w:t>”), has been maintained in all material respects in accordance with its terms in all material respects and with the requirements prescribed by any and all statutes, orders, rules and regulations that are applicable to such Employee Plans.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7" w:lineRule="auto"/>
        <w:tabs>
          <w:tab w:leader="none" w:pos="1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 Rating Agencies</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 No “nationally recognized statistical rating organization” (as that term is used in Rule 15c3-1(c)</w:t>
      </w:r>
    </w:p>
    <w:p>
      <w:pPr>
        <w:spacing w:after="0" w:line="1"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(2)(vi)(F) under the Exchange Act) (i) has imposed (or has informed the Company that it is considering imposing) any condition (financial or otherwise) to retain any rating assigned to the Company or any of the wholly owned Subsidiaries or to any securities of the Company or any of the wholly owned Subsidiaries or (ii) has indicated to the Company that it is considering (A) the downgrading, suspension, or withdrawal of, or any review (or of any potential or intended review) for a possible change in, any rating so assigned (including, without limitation, the placing of any of the foregoing ratings on credit watch with negative or developing implications or under review with an uncertain direction) or (B) any change in the outlook for any rating of the Company or any of the wholly owned Subsidiaries or any securities of the Company or any of the wholly owned Subsidiaries.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656"/>
        <w:spacing w:after="0" w:line="251" w:lineRule="auto"/>
        <w:tabs>
          <w:tab w:leader="none" w:pos="140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as disclosed in the Registration Statement and the Prospectus, each of the Company, the Subsidiaries and, to the knowledge of the Company, their respective directors, officers and employees: (A) is in full compliance with all applicable statutes, rules, regulations, ordinances, orders, decrees and guidances including, without limitation the Cannabis Act (Canada) (the “</w:t>
      </w:r>
      <w:r>
        <w:rPr>
          <w:rFonts w:ascii="Times New Roman" w:cs="Times New Roman" w:eastAsia="Times New Roman" w:hAnsi="Times New Roman"/>
          <w:sz w:val="18"/>
          <w:szCs w:val="18"/>
          <w:b w:val="1"/>
          <w:bCs w:val="1"/>
          <w:color w:val="auto"/>
        </w:rPr>
        <w:t>Cannabis Act</w:t>
      </w:r>
      <w:r>
        <w:rPr>
          <w:rFonts w:ascii="Times New Roman" w:cs="Times New Roman" w:eastAsia="Times New Roman" w:hAnsi="Times New Roman"/>
          <w:sz w:val="18"/>
          <w:szCs w:val="18"/>
          <w:color w:val="auto"/>
        </w:rPr>
        <w:t>”); (B) has not received any correspondence or notice from any Governmental Authority (including Health Canada) alleging or asserting material unrectified noncompliance with any Applicable Law or any licenses, certificates, approvals, clearances, authorizations, permits and supplements or amendments thereto required by any such Applicable Law (collectively,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(C) possesses all Authorizations required for the conduct of its business in the markets in which it operates, and such Authorizations are valid and in full force and effect, and the Company, the Subsidiaries and, to the knowledge of the Company, all directors, officers and employees of each are not in violation of any term of any such Authorization; (D) has not received notice of any pending or threatened claim, suit, proceeding, charge, hearing, enforcement, audit, investigation, arbitration or other action from any Governmental Authority (including Health Canada) alleging that any operation or activity of the Company, the Subsidiaries or, to the knowledge of the Company, any of their directors, officers and/or employees is in violation of any Applicable Law or Authorizations and has no reason to believe that any such Governmental Authority is considering any such claim, suit, proceeding, charge, hearing, enforcement, audit, investigation, arbitration or other action; (E) has not received notice that any Governmental Authority has taken, is taking, or intends to take action to limit, suspend, modify or revoke any material Authorizations and has no reason to believe that any such Governmental Authority is considering taking or would have reasonable grounds to take such action; and (F) has, or has had on its behalf, filed, declared, obtained, maintained or submitted all reports, documents, forms, notices, applications, records, claims, submissions and supplements or amendments as required by any Applicable Law or Authorizations and to keep its licenses that are described or referred to in the Registration Statement and the Prospectus in good standing and that all such reports, documents, forms, notices, applications, records, claims, submissions and supplements or amendments were materially complete and correct on the date filed (or were corrected or supplemented by a subsequent submission). Other than as disclosed in the Prospectus and Registration Statement, neither the Company nor any Subsidiary has received any notice or communication from Health Canada (or similar Governmental Authority) alleging a material unrectified defect, an issue requiring an unrectified recall or quarantine of product (whether voluntary, required or otherwise) or claim in respect of any products supplied or sold by the Company or any Subsidiary and, to the Company’s knowledge, there are no circumstances that would give rise to any reports, recalls, public disclosure, announcements or customer communications that are required to be made by the Company or any Subsidiary in respect of any products supplied or sold by the Company or any Subsidiary. All product research and development activities, quality assurance, quality control, testing, and research and analysis activities, conducted by the Company and each Subsidiary in connection with their business is conducted in accordance Applicable Law. Each individual employed by or associated with Company and the Subsidiaries in a key position required to hold security clearance under the Cannabis Act (Canada) and Cannabis Regulations thereunder in order to maintain any material Authorizations holds, or is in the process of securing, such clearance, and in the event of any failure by any such individual to obtain a required security clearance, the Company will ensure the prompt removal of such individual from the applicable key position. The Company and each Subsidiary is not aware of any circumstance that would affect such security clearances.</w:t>
      </w:r>
    </w:p>
    <w:p>
      <w:pPr>
        <w:spacing w:after="0" w:line="202"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656"/>
        <w:spacing w:after="0" w:line="253" w:lineRule="auto"/>
        <w:tabs>
          <w:tab w:leader="none" w:pos="135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Neither the Company nor any Subsidiary nor to the knowledge of the Company, any director, officer, employee or agent, Affiliate or other person acting on behalf of the Company or any Subsidiary has, in the course of its actions for, or on behalf of, the Company or any Subsidiary (i) used any corporate funds for any unlawful contribution, gift, entertainment or other unlawful expenses relating to political activity; (ii) made or taken any act in furtherance of an offer, promise, or authorization of any direct or indirect unlawful payment or benefit to any domestic government official, “foreign official” (as defined in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or employee from corporate funds, including of any government-owned or controlled entity or public international organization, or any political party, party official, or candidate for political office; (iii) violated or is in violation of any provision of the FCPA, the Corruption of Foreign Public Officials Act (Canada) (the “</w:t>
      </w:r>
      <w:r>
        <w:rPr>
          <w:rFonts w:ascii="Times New Roman" w:cs="Times New Roman" w:eastAsia="Times New Roman" w:hAnsi="Times New Roman"/>
          <w:sz w:val="18"/>
          <w:szCs w:val="18"/>
          <w:b w:val="1"/>
          <w:bCs w:val="1"/>
          <w:color w:val="auto"/>
        </w:rPr>
        <w:t>CFPOA</w:t>
      </w:r>
      <w:r>
        <w:rPr>
          <w:rFonts w:ascii="Times New Roman" w:cs="Times New Roman" w:eastAsia="Times New Roman" w:hAnsi="Times New Roman"/>
          <w:sz w:val="18"/>
          <w:szCs w:val="18"/>
          <w:color w:val="auto"/>
        </w:rPr>
        <w:t>”), the UK Bribery Act 2010, or any other applicable non-U.S. anti-bribery statute or regulation or anti-corruption law; or (iv) made, offered, authorized, requested, or taken an act in furtherance of any unlawful bribe, rebate, payoff, influence payment, kickback or other unlawful payment or benefit to any domestic government official, such foreign official or employee. The Company and the Subsidiaries and, to the knowledge of the Company, the Company’s Affiliates have conducted their respective businesses in compliance with the FCPA and CFPOA and have instituted and maintain policies and procedures designed to ensure, and which are reasonably expected to continue to ensure, continued compliance therewith.</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Proceeds of Crime (Money Laundering) and Terrorist Financing Act (Canada), the money laundering statutes of all applicable jurisdictions, the rules and regulations thereunder and any related or similar applicable rules, regulations or guidelines, issued, administered or enforced by any Governmental Authority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Authority or any arbitrator involving the Company or any Subsidiary with respect to the Money Laundering Laws is pending or, to the best knowledge of the Company, threatened.</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Cannabis Licenses</w:t>
      </w:r>
      <w:r>
        <w:rPr>
          <w:rFonts w:ascii="Times New Roman" w:cs="Times New Roman" w:eastAsia="Times New Roman" w:hAnsi="Times New Roman"/>
          <w:sz w:val="18"/>
          <w:szCs w:val="18"/>
          <w:color w:val="auto"/>
        </w:rPr>
        <w:t>. The Company has provided the Agents with copies of all material documents and correspondence relating to the licenses issued pursuant to the Cannabis Act, as applicable (the “</w:t>
      </w:r>
      <w:r>
        <w:rPr>
          <w:rFonts w:ascii="Times New Roman" w:cs="Times New Roman" w:eastAsia="Times New Roman" w:hAnsi="Times New Roman"/>
          <w:sz w:val="18"/>
          <w:szCs w:val="18"/>
          <w:b w:val="1"/>
          <w:bCs w:val="1"/>
          <w:color w:val="auto"/>
        </w:rPr>
        <w:t>Cannabis Licenses</w:t>
      </w:r>
      <w:r>
        <w:rPr>
          <w:rFonts w:ascii="Times New Roman" w:cs="Times New Roman" w:eastAsia="Times New Roman" w:hAnsi="Times New Roman"/>
          <w:sz w:val="18"/>
          <w:szCs w:val="18"/>
          <w:color w:val="auto"/>
        </w:rPr>
        <w:t>”), to the Company and any Subsidiary. The Company and the Subsidiaries are in compliance, in all material respects, with the terms and conditions of all such Cannabis Licenses and all other licenses, permits and authorizations required in connection with their respective businesses and the Company and each Subsidiary expects to obtain, maintain and/or renew, as applicable, such Cannabis Licenses or any other required license, authorization or permit. The transactions contemplated herein (including the proposed use of proceeds from the offering of the Shares) are not expected to have any adverse impact on the Cannabis Licenses or require the Company or any Subsidiary to obtain any new license under the Cannabis Act or any other Applicable Law. The Company and the Subsidiaries have obtained all material permits or licenses required in connection with their respective businesses as currently conducted, including the Cannabis Licenses.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656"/>
        <w:spacing w:after="0" w:line="253" w:lineRule="auto"/>
        <w:tabs>
          <w:tab w:leader="none" w:pos="13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Neither the Company nor any Subsidiary, nor, to the knowledge of the Company, after due inquiry, any director, officer, employee agent, Affiliate or other person acting on behalf of the Company or any Subsidiary is currently the subject or the target of any sanctions administered or enforced by the U.S. government (including, without limitation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Subsidiary located, organized or resident in a country or territory that is the subject or the target of Sanctions, including, without limitation, Crimea, the so-called Donetsk People’s Republic and so-called Luhansk People’s Republic regions of Ukraine,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directly or indirectly use the proceeds from the sale of Shares,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the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Except as otherwise disclosed in the Registration Statement and Prospectus, the Company is in compliance, in all material respects, with all applicable provisions of the Sarbanes-Oxley Act of 2002 and the rules and regulations promulgated thereunder.</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Agents in the United States or any political subdivision or taxing authority thereof or therein in connection with the execution, delivery or performance of this Agreement by the Company or the sale and delivery by the Company of the Shares.</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1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as would not reasonably be expected to have a Material Adverse Effect. The Company and the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the Subsidiaries have been and are presently in material compliance with Applicable Law, internal policies and contractual obligations relating to the privacy and security of IT Systems and Data, including Personal Data, and to the protection of such IT Systems and Personal Data from unauthorized use, access, misappropriation or modification except as would not reasonably be expected to, individually or in the aggregate, result in a Material Adverse Change.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656"/>
        <w:spacing w:after="0" w:line="253" w:lineRule="auto"/>
        <w:tabs>
          <w:tab w:leader="none" w:pos="13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The Company and the Subsidiaries are, and at all prior times were, in material compliance with all applicable state and federal data privacy and security laws and regulations, including without limitation HIPAA, and the Company and the Subsidiaries have taken commercially reasonable actions to prepare to comply with, and since May 25, 2018, have been and currently are in compliance with, the GDPR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 Privacy Laws, the Company and the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the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firstLine="656"/>
        <w:spacing w:after="0" w:line="282" w:lineRule="auto"/>
        <w:tabs>
          <w:tab w:leader="none" w:pos="123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Underwriting Agreements.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Criminal Laws</w:t>
      </w:r>
      <w:r>
        <w:rPr>
          <w:rFonts w:ascii="Times New Roman" w:cs="Times New Roman" w:eastAsia="Times New Roman" w:hAnsi="Times New Roman"/>
          <w:sz w:val="18"/>
          <w:szCs w:val="18"/>
          <w:color w:val="auto"/>
        </w:rPr>
        <w:t>. Neither the Company nor any Subsidiary has engaged in any direct or indirect dealings or transactions in violation of U.S. federal or state criminal laws, including, without limitation, the Controlled Substances Act, the Racketeering Influenced and Corrupt Practices Act or the Travel Act. No action, suit or proceeding by or before any Governmental Authority involving the Company or any Subsidiary with respect to Applicable Law is pending or, to the knowledge of the Company, threatened.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656"/>
        <w:spacing w:after="0" w:line="253" w:lineRule="auto"/>
        <w:tabs>
          <w:tab w:leader="none" w:pos="13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Illegal Cannabis Activities</w:t>
      </w:r>
      <w:r>
        <w:rPr>
          <w:rFonts w:ascii="Times New Roman" w:cs="Times New Roman" w:eastAsia="Times New Roman" w:hAnsi="Times New Roman"/>
          <w:sz w:val="18"/>
          <w:szCs w:val="18"/>
          <w:color w:val="auto"/>
        </w:rPr>
        <w:t>. Neither the Company nor any Subsidiary nor, to the Company’s knowledge, any director, officer or employee acting on behalf of the Company or any Subsidiary (collectively,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nor, to the Company’s knowledge, any entity in which the Company holds an equity interest, has cultivated, produced, processed, imported or distributed any cannabis or cannabinoid product or has otherwise engaged in any direct or indirect dealings or transactions, in each case, involving the purchase or sale of cannabis or cannabinoid product by the Company or any of its controlled Subsidiaries in or to any jurisdiction where such activity is illegal (including the United States of America, its territories and possessions, any state of the United States and the District of Columbia). Neither the Company nor any Subsidiary nor, to the Company’s knowledge, any director of officer of the Company has any current intention to engage in any of the foregoing. Neither the Company nor any Subsidiary has operated in or exported any cannabis or cannabinoid product to any jurisdiction except as disclosed in the Registration Statement and the Prospectus. The Company and the Subsidiaries have instituted and maintained policies and procedures reasonably designed to ensure that the Company and the Subsidiaries do not carry on any activities in, or distribute any products to, any jurisdiction where such activities or products do not comply with Applicable Law in all material respects, and that the Company does not maintain investments in any entity that carries on any activities in, or distributes any products to, any jurisdiction where such activities or products do not comply with Applicable Law in all material respects.</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 The Company and the Subsidiaries are in compliance in all material respects with all applicable rules, regulations and policies of Health Canada or any Governmental Authority in Canada or any other country with similar authority, performing similar functions and having jurisdiction over Company, the Subsidiaries or any of their businesses or property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and Development</w:t>
      </w:r>
      <w:r>
        <w:rPr>
          <w:rFonts w:ascii="Times New Roman" w:cs="Times New Roman" w:eastAsia="Times New Roman" w:hAnsi="Times New Roman"/>
          <w:sz w:val="18"/>
          <w:szCs w:val="18"/>
          <w:color w:val="auto"/>
        </w:rPr>
        <w:t>. All product research and development activities, quality assurance, quality control, testing, and research and analysis activities, conducted by the Company and each Subsidiary in connection with their business is conducted in accordance with industry practices and in compliance, in all material respects, with all industry, laboratory safety, management and training standards applicable to the Company’s current business, and all such processes, procedures and practices, required in connection with such activities are in place as necessary and are being complied with, in all material respects.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Recalls</w:t>
      </w:r>
      <w:r>
        <w:rPr>
          <w:rFonts w:ascii="Times New Roman" w:cs="Times New Roman" w:eastAsia="Times New Roman" w:hAnsi="Times New Roman"/>
          <w:sz w:val="18"/>
          <w:szCs w:val="18"/>
          <w:color w:val="auto"/>
        </w:rPr>
        <w:t>. Except as disclosed in the Prospectus and Registration Statement and as would not, individually or in the aggregate, have a Material Adverse Effect, neither the Company nor any Subsidiary has ever received any notice or communication from any customer or Government Authority (including Health Canada) alleging a material defect, an issue requiring a material recall or quarantine of product (whether voluntary, required or otherwise) or claim in respect of any products supplied or sold by the Company or any Subsidiary to a customer and, to the Company’s knowledge, there are no circumstances that would give rise to any reports, recalls, public disclosure, announcements or customer communications that are required to be made by the Company or any Subsidiary in respect of any products supplied or sold by the Company or any Subsidiary.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656"/>
        <w:spacing w:after="0" w:line="253" w:lineRule="auto"/>
        <w:tabs>
          <w:tab w:leader="none" w:pos="13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(i) The Company is not party to or bound by any collective bargaining agreement with any labor organization; (ii) there is no union representation question existing with respect to the employees of the Company, and, to the knowledge of the Company, after due inquiry, no union organizing activities are taking place that, could, individually or in the aggregate, have a Material Adverse Effect; (iii) to the knowledge of the Company, after due inquiry, no union organizing or decertification efforts are underway or threatened against the Company; (iv) no labor strike, work stoppage, slowdown or other material labor dispute is pending against the Company, or, to the Company’s knowledge, after due inquiry, threatened against the Company; (v) there is no worker’s compensation liability, experience or matter that could be reasonably expected to have a Material Adverse Effect; (vi) except as disclosed in the Registration Statement and the Prospectus, there is no material human rights or employment-related charge, complaint, grievance, investigation, unfair labor practice claim or inquiry of any kind, pending before any Governmental Authority against the Company that could, individually or in the aggregate, have a Material Adverse Effect; and (vii) to the knowledge of the Company, after due inquiry, no employee or agent of the Company has committed any act or omission giving rise to liability for any violation identified in subsection (vi) above, other than such acts or omissions that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Transactions</w:t>
      </w:r>
      <w:r>
        <w:rPr>
          <w:rFonts w:ascii="Times New Roman" w:cs="Times New Roman" w:eastAsia="Times New Roman" w:hAnsi="Times New Roman"/>
          <w:sz w:val="18"/>
          <w:szCs w:val="18"/>
          <w:color w:val="auto"/>
        </w:rPr>
        <w:t>. Except as disclosed in the Registration Statement and the Prospectus, neither the Company nor any Subsidiary is currently party to any agreement in respect of (i) the purchase of any material property or assets or the sale, transfer or other disposition of any material property or assets currently owned, directly or indirectly, by the Company or the Subsidiaries whether by asset sale, transfer of shares or otherwise or (ii) the change of control of the Company or the Subsidiaries (whether by sale or transfer of shares or sale of all or substantially all of the property and assets of the Company or the Subsidiaries or otherwise).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Well-Known Seasoned Issuer</w:t>
      </w:r>
      <w:r>
        <w:rPr>
          <w:rFonts w:ascii="Times New Roman" w:cs="Times New Roman" w:eastAsia="Times New Roman" w:hAnsi="Times New Roman"/>
          <w:sz w:val="18"/>
          <w:szCs w:val="18"/>
          <w:color w:val="auto"/>
        </w:rPr>
        <w:t>. (A) At the original time of effectiveness of the Registration Statement, (B) at the time of the most recent amendment thereto for any purpose, including for the purpose of complying with Section 10(a)(3) of the Securities Act (whether such amendment was by post-effective amendment or incorporated report filed pursuant to Section 13 or 15(d) of the Exchange Act or in the form of a prospectus), (C) at the time the Company or any person acting on its behalf (within the meaning, for this clause only, of Rule 163(c) under the Securities Act) made any offer relating to the Shares in reliance on the exemption of Rule 163 under the Securities Act, and (D) as of the Applicable Time, the Company was, is and will be a “well-known seasoned issuer” (as defined in Rule 405). As used herein, “Applicable Time” means the date of this Agreement, each Representation Date, the date on which an Issuance Notice is given, and any date on which Shares are sold hereunder.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Subsidiary and delivered to the Agents or counsel for the Agents in connection with an issuance of Shares shall be deemed a representation and warranty by the Company to the Agents as to the matters covered thereby on the date of such certificate.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acknowledges that the Agents and, for purposes of the opinions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hereof, counsel to the Company and counsel to the Agents, will rely upon the accuracy and truthfulness of the foregoing representations and hereby consents to such reliance.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ISSUANCE AND SALE OF COMMON SHARES</w:t>
      </w:r>
    </w:p>
    <w:p>
      <w:pPr>
        <w:spacing w:after="0" w:line="229" w:lineRule="exact"/>
        <w:rPr>
          <w:sz w:val="20"/>
          <w:szCs w:val="20"/>
          <w:color w:val="auto"/>
        </w:rPr>
      </w:pPr>
    </w:p>
    <w:p>
      <w:pPr>
        <w:jc w:val="both"/>
        <w:ind w:firstLine="656"/>
        <w:spacing w:after="0" w:line="258" w:lineRule="auto"/>
        <w:tabs>
          <w:tab w:leader="none" w:pos="12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Agents agree that the Company may from time to time seek to sell Shares through an Agent named in the applicable Issuance Notice, acting as sales agent, or directly to an Agent, acting as principal (any such Agent, the “</w:t>
      </w:r>
      <w:r>
        <w:rPr>
          <w:rFonts w:ascii="Times New Roman" w:cs="Times New Roman" w:eastAsia="Times New Roman" w:hAnsi="Times New Roman"/>
          <w:sz w:val="18"/>
          <w:szCs w:val="18"/>
          <w:b w:val="1"/>
          <w:bCs w:val="1"/>
          <w:color w:val="auto"/>
        </w:rPr>
        <w:t>Designated Agent</w:t>
      </w:r>
      <w:r>
        <w:rPr>
          <w:rFonts w:ascii="Times New Roman" w:cs="Times New Roman" w:eastAsia="Times New Roman" w:hAnsi="Times New Roman"/>
          <w:sz w:val="18"/>
          <w:szCs w:val="18"/>
          <w:color w:val="auto"/>
        </w:rPr>
        <w:t>”), as follows, with an aggregate Sales Price of up to the Maximum Program Amount, based on and in accordance with Issuance Notices as the Company may deliver, during the Agency Period.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320" w:hanging="66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18" w:lineRule="exact"/>
        <w:tabs>
          <w:tab w:leader="none" w:pos="135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Notice</w:t>
      </w:r>
      <w:r>
        <w:rPr>
          <w:rFonts w:ascii="Times New Roman" w:cs="Times New Roman" w:eastAsia="Times New Roman" w:hAnsi="Times New Roman"/>
          <w:sz w:val="18"/>
          <w:szCs w:val="18"/>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have been satisfied, the Company may exercise its right to request an issuance of Shares by delivering to the Designated Agent an Issuance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(B) prior to delivery of any Issuance Notice, the period set forth for any previous Issuance Notice shall have expired or been terminated and (C) any sales of the Shares shall be effected by or through the Designated Agent on any single given day and the Company shall in no event request that more than one Agent offer or sell the Shares pursuant to this Agreement on the same day. An Issuance Notice shall be considered delivered on the Trading Day that it is received by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to the persons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confirmed by the Company by telephone (including a voicemail message to the persons so identified), with the understanding that, with adequate prior written notice, the Agents may modify the list of such persons from time to time.</w:t>
      </w:r>
    </w:p>
    <w:p>
      <w:pPr>
        <w:spacing w:after="0" w:line="202" w:lineRule="exact"/>
        <w:rPr>
          <w:rFonts w:ascii="Times New Roman" w:cs="Times New Roman" w:eastAsia="Times New Roman" w:hAnsi="Times New Roman"/>
          <w:sz w:val="18"/>
          <w:szCs w:val="18"/>
          <w:color w:val="auto"/>
        </w:rPr>
      </w:pPr>
    </w:p>
    <w:p>
      <w:pPr>
        <w:jc w:val="both"/>
        <w:ind w:firstLine="656"/>
        <w:spacing w:after="0" w:line="256" w:lineRule="auto"/>
        <w:tabs>
          <w:tab w:leader="none" w:pos="138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Designated Agent will use its commercially reasonable efforts consistent with their normal sales and trading practices to place the Shares with respect to which the Designated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Company and the Designated Agent may modify an Issuance Notice at any time provided they both agree in writing to any such modification.</w:t>
      </w:r>
    </w:p>
    <w:p>
      <w:pPr>
        <w:spacing w:after="0" w:line="187"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privately negotiated transactions with the consent of the Company;</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2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block transactions; or (C) by any other method permitted by law deemed to be an “at the market offering” as defined in Rule 415(a)(4) under the Securities Act, including sales made directly on the Principal Market. In the event the Company engages an Agent for a sale of Shares in an agency transaction that would constitute a “block” within the meaning of Rule 10b-18(a)(5) under the Exchange Act, the Company will provide such Agent, at the Agent’s request and upon reasonable advance notice to the Company, on or prior to the Settlement Date, the opinions of counsel, accountant’s letter and officers’ certificates set forth in Section 4 hereof, each dated the Settlement Date, and such other documents and information as the Agent shall reasonably request. Nothing in this Agreement shall be deemed to require any party to agree to the method of offer and sale specified in the preceding sentence, and (except as specified in clauses (A) and (B) above) the method of placement of any Shares by the Designated Agent shall be at Designated Agent’s discretion. The Company and the Agents agree that all sales of Shares hereunder shall be made only outside Canada and no sales will be made on the Toronto Stock Exchange or on any other trading markets in Canada.</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56"/>
        <w:spacing w:after="0" w:line="266" w:lineRule="auto"/>
        <w:tabs>
          <w:tab w:leader="none" w:pos="141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to the Company</w:t>
      </w:r>
      <w:r>
        <w:rPr>
          <w:rFonts w:ascii="Times New Roman" w:cs="Times New Roman" w:eastAsia="Times New Roman" w:hAnsi="Times New Roman"/>
          <w:sz w:val="18"/>
          <w:szCs w:val="18"/>
          <w:color w:val="auto"/>
        </w:rPr>
        <w:t>. If acting as sales agents hereunder, the Designated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on or before each Settlement Date, the Company will, or will cause its transfer agent to, electronically transfer the Shares being sold by crediting the Designated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Designated Agent will deliver, by wire transfer of immediately available funds, the related Issuance Price in same day funds delivered to an account designated by the Company prior to the Settlement Date. The Company may sell Shares to the Designated Agent as principal at a price agreed upon at each relevant time Shares are sold pursuant to this Agreement (each, a “</w:t>
      </w:r>
      <w:r>
        <w:rPr>
          <w:rFonts w:ascii="Times New Roman" w:cs="Times New Roman" w:eastAsia="Times New Roman" w:hAnsi="Times New Roman"/>
          <w:sz w:val="18"/>
          <w:szCs w:val="18"/>
          <w:b w:val="1"/>
          <w:bCs w:val="1"/>
          <w:color w:val="auto"/>
        </w:rPr>
        <w:t>Time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xml:space="preserve">. Consistent with standard market settlement practices, the Company or the Designated Agent may, upon notice to the other parties hereto in writing or by telephone (confirmed immediately by verifiable email), suspend any sale of Shares, and the period set forth in an Issuance Notice shall immediately terminate; provided, however, that (A) such suspension and termination shall not affect or impair any party’s obligations with respect to any Shares placed or sold hereunder prior to the receipt of such notice; (B) if the Company suspends or terminates any sale of Shares after the Designated Agent confirms such sale to the Company, the Company shall still be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(C) if the Company defaults in its obligation to deliver Shares on a Settlement Date, the Company agrees that it will hold the Designated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Agents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Designated Agent unless it is made to the persons identified in writing by the Designated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xml:space="preserve"> The Company acknowledges and agrees that (A) there can be no assurance that the Designated Agent will be successful in placing Shares; (B) the Designated Agent will incur no liability or obligation to the Company or any other Person if it does not sell Shares; and (C) the Designated Agent shall be under no obligation to purchase Shares on a principal basis pursuant to this Agreement, except as otherwise specifically agreed by the Designated Agent and the Company.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656"/>
        <w:spacing w:after="0" w:line="254" w:lineRule="auto"/>
        <w:tabs>
          <w:tab w:leader="none" w:pos="13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xml:space="preserve"> Notwithstanding any other provision of this Agreement, the Company shall not offer, sell or deliver, or request the offer or sale, of any Shares pursuant to this Agreement and, by notice to the Agents given by telephone (confirmed promptly by email), shall cancel any instructions for the placement, offer or sale of any Shares, and the Agents shall not be obligated to place, offer or sell any Shares, (i) during any period in which the Company is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b w:val="1"/>
          <w:bCs w:val="1"/>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through and including the time that the Company files a Quarterly Report on Form 10-Q or an Annual Report on Form 10-K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consolidated financial statements as of and for the same period or periods, as the case may be, covered by such Earnings Announcement unless the Company has filed a Form 8-K in a manner such that the information in the Earnings Announcement is incorporated by reference into the Registration Statement and the Prospectus.</w:t>
      </w:r>
    </w:p>
    <w:p>
      <w:pPr>
        <w:spacing w:after="0" w:line="188" w:lineRule="exact"/>
        <w:rPr>
          <w:sz w:val="20"/>
          <w:szCs w:val="20"/>
          <w:color w:val="auto"/>
        </w:rPr>
      </w:pPr>
    </w:p>
    <w:p>
      <w:pPr>
        <w:jc w:val="both"/>
        <w:ind w:firstLine="656"/>
        <w:spacing w:after="0" w:line="266" w:lineRule="auto"/>
        <w:tabs>
          <w:tab w:leader="none" w:pos="13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As compensation for services rendered, the Company shall pay to the Designated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xml:space="preserve"> by the Designated Agent deducting the Selling Commission from the applicable Issuance Amount.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Shares for offer and sale under the state securities or blue sky laws or the provincial securities laws of Canada, and, if requested by the Agents, preparing and printing a “</w:t>
      </w:r>
      <w:r>
        <w:rPr>
          <w:rFonts w:ascii="Times New Roman" w:cs="Times New Roman" w:eastAsia="Times New Roman" w:hAnsi="Times New Roman"/>
          <w:sz w:val="17"/>
          <w:szCs w:val="17"/>
          <w:b w:val="1"/>
          <w:bCs w:val="1"/>
          <w:color w:val="auto"/>
        </w:rPr>
        <w:t>Blue Sky Survey</w:t>
      </w:r>
      <w:r>
        <w:rPr>
          <w:rFonts w:ascii="Times New Roman" w:cs="Times New Roman" w:eastAsia="Times New Roman" w:hAnsi="Times New Roman"/>
          <w:sz w:val="17"/>
          <w:szCs w:val="17"/>
          <w:color w:val="auto"/>
        </w:rPr>
        <w:t>” or memorandum and a “Canadian wrapper,” and any supplements thereto, advising the Agents of such qualifications, registrations, determinations and exemptions; (vii) the reasonable fees and disbursements of the Agents’ counsel, including the reasonable fees and expenses of counsel for the Agents in connection with, FINRA review, if any, and approval of the Agents’ participation in the offering and distribution of the Shares; (viii) the filing fees incident to FINRA review, if any;</w:t>
      </w:r>
    </w:p>
    <w:p>
      <w:pPr>
        <w:spacing w:after="0" w:line="9" w:lineRule="exact"/>
        <w:rPr>
          <w:rFonts w:ascii="Times New Roman" w:cs="Times New Roman" w:eastAsia="Times New Roman" w:hAnsi="Times New Roman"/>
          <w:sz w:val="17"/>
          <w:szCs w:val="17"/>
          <w:color w:val="auto"/>
        </w:rPr>
      </w:pPr>
    </w:p>
    <w:p>
      <w:pPr>
        <w:jc w:val="both"/>
        <w:ind w:firstLine="8"/>
        <w:spacing w:after="0" w:line="252" w:lineRule="auto"/>
        <w:tabs>
          <w:tab w:leader="none" w:pos="3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Agents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$100,000 in the aggregate.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and agrees with the Agents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ind w:firstLine="656"/>
        <w:spacing w:after="0" w:line="257" w:lineRule="auto"/>
        <w:tabs>
          <w:tab w:leader="none" w:pos="126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sold through the Agents pursuant to this Agreement and (2) the net proceeds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8"/>
          <w:szCs w:val="18"/>
          <w:b w:val="1"/>
          <w:bCs w:val="1"/>
          <w:color w:val="auto"/>
        </w:rPr>
        <w:t>Interim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such summary information and, at least once a quarter and subject to this Section 4, file such Interim Prospectus Supplement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424(b) under the Securities Act (and within the time periods required by Rule 424(b) and Rule 430B under the Securities Act).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30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Agents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(iv) if the Registration Statement ceases to be available for use as a result of the Company no longer qualifying as a “well-known seasoned issuer” (as defined in Rule 405 under the Securities Act); and (v)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both"/>
        <w:ind w:firstLine="656"/>
        <w:spacing w:after="0" w:line="253" w:lineRule="auto"/>
        <w:tabs>
          <w:tab w:leader="none" w:pos="12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Agents or counsel for the Agents it is otherwise necessary to amend or supplement the Prospectus to comply with applicable law, including the Securities Act, the Company agrees (subject to Section 4(d) and 4(f)) to promptly prepare, file with the Commission and furnish at its own expense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3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Review of Proposed Amendments and Supplements</w:t>
      </w:r>
      <w:r>
        <w:rPr>
          <w:rFonts w:ascii="Times New Roman" w:cs="Times New Roman" w:eastAsia="Times New Roman" w:hAnsi="Times New Roman"/>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Agents for review, a reasonable amount of time prior to the proposed time of filing or use thereof, a copy of each such proposed amendment or supplement, insofar as such proposed amendment or supplement relates to the transactions contemplated hereby,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3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Agents has prepared, used, referred to or distributed, or will prepare, use, refer to or distribute, without each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13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xml:space="preserve">. The Company shall furnish to the Agents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Agents, without charge, as many copies of any Free Writing Prospectus prepared by or on behalf of, or used by the Company, as the Agents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shall not be unreasonably delayed, withheld, or conditioned.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56"/>
        <w:spacing w:after="0" w:line="266" w:lineRule="auto"/>
        <w:tabs>
          <w:tab w:leader="none" w:pos="13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Agents Free Writing Prospectuses</w:t>
      </w:r>
      <w:r>
        <w:rPr>
          <w:rFonts w:ascii="Times New Roman" w:cs="Times New Roman" w:eastAsia="Times New Roman" w:hAnsi="Times New Roman"/>
          <w:sz w:val="18"/>
          <w:szCs w:val="18"/>
          <w:color w:val="auto"/>
        </w:rPr>
        <w:t>. 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Registration Statement and Prospectus</w:t>
      </w:r>
      <w:r>
        <w:rPr>
          <w:rFonts w:ascii="Times New Roman" w:cs="Times New Roman" w:eastAsia="Times New Roman" w:hAnsi="Times New Roman"/>
          <w:sz w:val="18"/>
          <w:szCs w:val="18"/>
          <w:color w:val="auto"/>
        </w:rPr>
        <w:t>. After the date of this Agreement through the last time that a prospectus is required by the Securities Act (including, without limitation, pursuant to Rule 173(d)) to be delivered in connection with sales of the Shares, the Company agrees to furnish the Agents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Agents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Agents and to request that the Agents suspend offers to sell Shares (and, if so notified, the Agents shall cease such offers as soon as practicable); and if the Company decides to amend or supplement the Registration Statement or the Prospectus as then amended or supplemented, to advise the Agents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Agents are required to deliver a prospectus in respect of transactions in the Shares, the Company shall promptly prepare and file with the Commission such an amendment or supplement.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656"/>
        <w:spacing w:after="0" w:line="254" w:lineRule="auto"/>
        <w:tabs>
          <w:tab w:leader="none" w:pos="12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the Company will make generally available to its security holders and to the Agents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Agents in connection with the transactions contemplated hereby, including, without limitation, providing information and making available documents and senior corporate officers, during normal business hours and at the Company’s principal offices, as the Agents may reasonably request from time to time.</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acknowledges that each delivery of an Issuance Notice and each delivery of Shares on a Settlement Date shall be deemed to be (i) an affirmation to the Agents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Agents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40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xml:space="preserve"> The Company agrees that on or prior to the date of the first Issuance Notice and, during the term of this Agreement after the date of the first Issuance Notice, upon: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304"/>
        <w:spacing w:after="0" w:line="266" w:lineRule="auto"/>
        <w:tabs>
          <w:tab w:leader="none" w:pos="20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or financial statements of any entity or business acquired by the Company after the date of this Agreement, that is material to the offering of securities of the Company in the Agents’ reasonable discretion;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such event, a “</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xml:space="preserve">”), the Company shall furnish the Agents (but in the case of clause (C) above only if the Agents reasonably determines that the information contained in such current report on Form 8-K of the Company is material) with a certificate as of the Triggering Event Date, in the form and substance satisfactory to the Agents and their counsel, substantially similar to the form previously provided to the Agents and their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w:t>
      </w:r>
      <w:r>
        <w:rPr>
          <w:rFonts w:ascii="Times New Roman" w:cs="Times New Roman" w:eastAsia="Times New Roman" w:hAnsi="Times New Roman"/>
          <w:sz w:val="18"/>
          <w:szCs w:val="18"/>
          <w:u w:val="single" w:color="auto"/>
          <w:color w:val="auto"/>
        </w:rPr>
        <w:t>Section 5(a)(iii)</w:t>
      </w:r>
      <w:r>
        <w:rPr>
          <w:rFonts w:ascii="Times New Roman" w:cs="Times New Roman" w:eastAsia="Times New Roman" w:hAnsi="Times New Roman"/>
          <w:sz w:val="18"/>
          <w:szCs w:val="18"/>
          <w:color w:val="auto"/>
        </w:rPr>
        <w:t xml:space="preserve"> hereof, and (C) containing any other certification that the Agents shall reasonably request. The requirement to provide a certificate under this Section 4(o)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Agents with a certificate under this Section 4(o), then before the Company delivers the instructions for the sale of Shares or the Designated Agent sells any Shares pursuant to such instructions, the Company shall provide the Agents with a certificate in conformity with this Section 4(o) dated as of the date that the instructions for the sale of Shares are issued.</w:t>
      </w:r>
    </w:p>
    <w:p>
      <w:pPr>
        <w:spacing w:after="0" w:line="191" w:lineRule="exact"/>
        <w:rPr>
          <w:sz w:val="20"/>
          <w:szCs w:val="20"/>
          <w:color w:val="auto"/>
        </w:rPr>
      </w:pPr>
    </w:p>
    <w:p>
      <w:pPr>
        <w:jc w:val="both"/>
        <w:ind w:firstLine="656"/>
        <w:spacing w:after="0" w:line="254" w:lineRule="auto"/>
        <w:tabs>
          <w:tab w:leader="none" w:pos="13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a negative assurances letter and the written legal opinion of DLA Piper LLP (US), counsel to the Company, and Goodwin Procter LLP, counsel to the Agents, each dated the date of delivery, in form and substance reasonably satisfactory to Agents and their counsel, substantially similar to the form previously provided to the Agents and their counsel, modified, as necessary, to relate to the Registration Statement and the Prospectus as then amended or supplemented. In lieu of such opinions for subsequent periodic filings, in the discretion of the Agents, the Company may furnish a reliance letter from such counsel to the Agents, permitting the Agents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56"/>
        <w:spacing w:after="0" w:line="252" w:lineRule="auto"/>
        <w:tabs>
          <w:tab w:leader="none" w:pos="13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PricewaterhouseCoopers LLP, the independent registered public accounting firm of the Company who has audited the financial statements included or incorporated by reference in the Registration Statement, and, if an annual report on Form 10-K or a quarterly report on Form 10-Q shall include the financial statements of any entity or business acquired by the Company after the date of this Agreement, the Company shall cause representatives of the independent public accountants that audited or reviewed such financial statements, to furnish the Agents a comfort letter, dated the date of delivery, in form and substance reasonably satisfactory to the Agents and their counsel, substantially similar to the form previously provided to the Agents and their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Agents, the Company shall also cause one or more comfort letters to be furnished to the Agents upon the date of the occurrence of any material transaction or event requiring the filing of a current report on Form 8-K containing material amended financial information of the Company, including the restatement of the Company’s financial statements, or the financial statements of any entity or business acquired by the Company after the date of this Agreement. The Company shall be required to furnish no more than one comfort letter hereunder per calendar quarter unless such comfort letter relates to the filing of a current report on Form 8-K with respect to any entity or business acquired by the Company after the date of this Agreement.</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5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date of the first Issuance Notice and on or prior to each Triggering Event Date, the Company shall furnish the Agents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Agents shall reasonably request.</w:t>
      </w:r>
    </w:p>
    <w:p>
      <w:pPr>
        <w:spacing w:after="0" w:line="188"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Financial Officer’s Certificate</w:t>
      </w:r>
      <w:r>
        <w:rPr>
          <w:rFonts w:ascii="Times New Roman" w:cs="Times New Roman" w:eastAsia="Times New Roman" w:hAnsi="Times New Roman"/>
          <w:sz w:val="18"/>
          <w:szCs w:val="18"/>
          <w:color w:val="auto"/>
        </w:rPr>
        <w:t>. If requested by the Agents or their counsel, on or prior to the first Issuance Notice and within three</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of each Triggering Event Date with respect to which the Company is obligated to deliver a certificate for which no waiver is applicable, the Company shall have delivered to the Agents a certificate executed by the Chief Financial Officer of the Company, dated as of such date, in form and substance satisfactory to Agents and their counsel.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656"/>
        <w:spacing w:after="0" w:line="282" w:lineRule="auto"/>
        <w:tabs>
          <w:tab w:leader="none" w:pos="142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Own Account; Clients’ Account</w:t>
      </w:r>
      <w:r>
        <w:rPr>
          <w:rFonts w:ascii="Times New Roman" w:cs="Times New Roman" w:eastAsia="Times New Roman" w:hAnsi="Times New Roman"/>
          <w:sz w:val="18"/>
          <w:szCs w:val="18"/>
          <w:color w:val="auto"/>
        </w:rPr>
        <w:t>. The Company consents to the Agents trading, in compliance with applicable law, in the Common Shares for the Agents’ own accounts and for the accounts of their clients at the same time as sales of the Shares occur pursuant to this Agreement.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Subsidiary to register as an investment company under the Investment Company Act.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 any other reference security pursuant to any exception set forth in Section (d) of Rule 102, then promptly upon notice from the Agents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Agents if it no longer meets the requirements set forth in Section (d) of Rule 102.</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3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w:t>
      </w:r>
      <w:r>
        <w:rPr>
          <w:rFonts w:ascii="Times New Roman" w:cs="Times New Roman" w:eastAsia="Times New Roman" w:hAnsi="Times New Roman"/>
          <w:sz w:val="18"/>
          <w:szCs w:val="18"/>
          <w:color w:val="auto"/>
        </w:rPr>
        <w:t>. Without the written consent of the Agents,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Agents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firstLine="656"/>
        <w:spacing w:after="0" w:line="282" w:lineRule="auto"/>
        <w:tabs>
          <w:tab w:leader="none" w:pos="14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Fees.</w:t>
      </w:r>
      <w:r>
        <w:rPr>
          <w:rFonts w:ascii="Times New Roman" w:cs="Times New Roman" w:eastAsia="Times New Roman" w:hAnsi="Times New Roman"/>
          <w:sz w:val="18"/>
          <w:szCs w:val="18"/>
          <w:color w:val="auto"/>
        </w:rPr>
        <w:t xml:space="preserve"> The Company agrees to pay the required Commission filing fees relating to the Shares within the time required by Rule 456(b)(1) under the Securities Act and otherwise in accordance with Rules 456(b) and 457(r)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CONDITIONS TO DELIVERY OF ISSUANCE NOTICES AND TO SETTLEMENT</w:t>
      </w:r>
    </w:p>
    <w:p>
      <w:pPr>
        <w:spacing w:after="0" w:line="229" w:lineRule="exact"/>
        <w:rPr>
          <w:sz w:val="20"/>
          <w:szCs w:val="20"/>
          <w:color w:val="auto"/>
        </w:rPr>
      </w:pPr>
    </w:p>
    <w:p>
      <w:pPr>
        <w:jc w:val="both"/>
        <w:ind w:firstLine="656"/>
        <w:spacing w:after="0" w:line="261" w:lineRule="auto"/>
        <w:tabs>
          <w:tab w:leader="none" w:pos="13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Agents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Designated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spacing w:after="0" w:line="180" w:lineRule="exact"/>
        <w:rPr>
          <w:sz w:val="20"/>
          <w:szCs w:val="20"/>
          <w:color w:val="auto"/>
        </w:rPr>
      </w:pPr>
    </w:p>
    <w:p>
      <w:pPr>
        <w:jc w:val="both"/>
        <w:ind w:left="1300" w:hanging="644"/>
        <w:spacing w:after="0" w:line="25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Agents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Subsidiary by any “nationally recognized statistical rating organization” as such term is defined for purposes of Section 3(a)(62) of the Exchange Act.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left="1300" w:hanging="644"/>
        <w:spacing w:after="0" w:line="253"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 Other Events</w:t>
      </w:r>
      <w:r>
        <w:rPr>
          <w:rFonts w:ascii="Times New Roman" w:cs="Times New Roman" w:eastAsia="Times New Roman" w:hAnsi="Times New Roman"/>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Agents is material and adverse and makes it impracticable to market the Shares in the manner and on the terms described in the Prospectus or to enforce contracts for the sale of securities.</w:t>
      </w:r>
    </w:p>
    <w:p>
      <w:pPr>
        <w:spacing w:after="0" w:line="187" w:lineRule="exact"/>
        <w:rPr>
          <w:sz w:val="20"/>
          <w:szCs w:val="20"/>
          <w:color w:val="auto"/>
        </w:rPr>
      </w:pPr>
    </w:p>
    <w:p>
      <w:pPr>
        <w:jc w:val="both"/>
        <w:ind w:firstLine="656"/>
        <w:spacing w:after="0" w:line="258" w:lineRule="auto"/>
        <w:tabs>
          <w:tab w:leader="none" w:pos="146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Designated Agent’s obligation to use its commercially reasonable efforts to place Shares hereunder shall additionally be conditioned upon the delivery to the Agents on or before the Issuance Notice Date of a certificate in form and substance reasonably satisfactory to the Designated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Agents shall not have advised the Company that the Registration Statement, the Prospectus or the Times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229" w:lineRule="exact"/>
        <w:rPr>
          <w:sz w:val="20"/>
          <w:szCs w:val="20"/>
          <w:color w:val="auto"/>
        </w:rPr>
      </w:pPr>
    </w:p>
    <w:p>
      <w:pPr>
        <w:jc w:val="both"/>
        <w:ind w:firstLine="656"/>
        <w:spacing w:after="0" w:line="251" w:lineRule="auto"/>
        <w:tabs>
          <w:tab w:leader="none" w:pos="12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Agents</w:t>
      </w:r>
      <w:r>
        <w:rPr>
          <w:rFonts w:ascii="Times New Roman" w:cs="Times New Roman" w:eastAsia="Times New Roman" w:hAnsi="Times New Roman"/>
          <w:sz w:val="18"/>
          <w:szCs w:val="18"/>
          <w:color w:val="auto"/>
        </w:rPr>
        <w:t>. The Company agrees to indemnify and hold harmless the Agents, their respective officers and employees, and each person, if any, who controls an Agent within the meaning of the Securities Act or the Exchange Act against any loss, claim, damage, liability or expense, as incurred, to which such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Agents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Agents through their bad faith or willful misconduct, and to reimburse the Agents and each such officer, employee and controlling person for any and all expenses (including the fees and disbursements of counsel chosen by the Agents) as such expenses are reasonably incurred by the Agents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of the information set forth in the first sentence of the eleventh paragraph under the caption “Plan of Distribution” in the Prospectus. The indemnity agreement set forth in this Section 6(a) shall be in addition to any liabilities that the Company may otherwise have.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ind w:firstLine="656"/>
        <w:spacing w:after="0" w:line="251" w:lineRule="auto"/>
        <w:tabs>
          <w:tab w:leader="none" w:pos="13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Agents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5"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Settlements</w:t>
      </w:r>
      <w:r>
        <w:rPr>
          <w:rFonts w:ascii="Times New Roman" w:cs="Times New Roman" w:eastAsia="Times New Roman" w:hAnsi="Times New Roman"/>
          <w:sz w:val="18"/>
          <w:szCs w:val="18"/>
          <w:color w:val="auto"/>
        </w:rPr>
        <w:t xml:space="preserve">. The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56"/>
        <w:spacing w:after="0" w:line="252" w:lineRule="auto"/>
        <w:tabs>
          <w:tab w:leader="none" w:pos="13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applicable Agent(s),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applicable Agent(s), on the other hand, in connection with the statements or omissions which resulted in such losses, claims, damages, liabilities or expenses, as well as any other relevant equitable considerations. The relative benefits received by the Company, on the one hand, and the applicable Agent(s),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applicable Agent(s). The relative fault of the Company, on the one hand, and the applicable Agent(s), on the other hand, shall be determined by reference to, among other things, whether any such untrue or alleged untrue statement of a material fact or omission or alleged omission to state a material fact relates to information supplied by the Company, on the one hand, or the applicable Agent(s), on the other hand, and the parties’ relative intent, knowledge, access to information and opportunity to correct or prevent such statement or omission.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for purposes of indemnification.</w:t>
      </w:r>
    </w:p>
    <w:p>
      <w:pPr>
        <w:spacing w:after="0" w:line="183"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Agents agree that it would not be just and equitable if contribution pursuant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9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an Agent shall not be required to contribute any amount in excess of the agent fees received by such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6(d)</w:t>
      </w:r>
      <w:r>
        <w:rPr>
          <w:rFonts w:ascii="Times New Roman" w:cs="Times New Roman" w:eastAsia="Times New Roman" w:hAnsi="Times New Roman"/>
          <w:sz w:val="18"/>
          <w:szCs w:val="18"/>
          <w:color w:val="auto"/>
        </w:rPr>
        <w:t>, each officer and employee of the Agents and each person, if any, who controls the Agents within the meaning of the Securities Act or the Exchange Act shall have the same rights to contribution as the Agents,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229" w:lineRule="exact"/>
        <w:rPr>
          <w:sz w:val="20"/>
          <w:szCs w:val="20"/>
          <w:color w:val="auto"/>
        </w:rPr>
      </w:pPr>
    </w:p>
    <w:p>
      <w:pPr>
        <w:ind w:firstLine="656"/>
        <w:spacing w:after="0" w:line="282" w:lineRule="auto"/>
        <w:tabs>
          <w:tab w:leader="none" w:pos="13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left="1300" w:hanging="320"/>
        <w:spacing w:after="0" w:line="255"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may terminate this Agreement, solely with respect to its rights and obligations hereunder, and the Company may terminate this Agreement, with respect to one or any Agents, prior to the end of the Agency Period, by giving written notice as required by this Agreement, upon ten (10) Trading Days’ notice to the other parties to this Agreement; provided that, (A) if the Company terminates this Agreement after an Agent confirms to the Company any sale of Shares, the Company shall remain obligated to comply with </w:t>
      </w:r>
      <w:r>
        <w:rPr>
          <w:rFonts w:ascii="Times New Roman" w:cs="Times New Roman" w:eastAsia="Times New Roman" w:hAnsi="Times New Roman"/>
          <w:sz w:val="18"/>
          <w:szCs w:val="18"/>
          <w:u w:val="single" w:color="auto"/>
          <w:color w:val="auto"/>
        </w:rPr>
        <w:t>Section 3(b)</w:t>
      </w:r>
    </w:p>
    <w:p>
      <w:pPr>
        <w:spacing w:after="0" w:line="2"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71" w:val="left"/>
        </w:tabs>
        <w:numPr>
          <w:ilvl w:val="1"/>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with respect to such Shares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 For the avoidance of doubt, the termination by one Agent of its rights and obligations under this Agreement pursuant to this Section 7(b)(i) shall not affect the rights and obligations of the other Agent under this Agreement.</w:t>
      </w:r>
    </w:p>
    <w:p>
      <w:pPr>
        <w:spacing w:after="0" w:line="188" w:lineRule="exact"/>
        <w:rPr>
          <w:rFonts w:ascii="Times New Roman" w:cs="Times New Roman" w:eastAsia="Times New Roman" w:hAnsi="Times New Roman"/>
          <w:sz w:val="18"/>
          <w:szCs w:val="18"/>
          <w:u w:val="single" w:color="auto"/>
          <w:color w:val="auto"/>
        </w:rPr>
      </w:pPr>
    </w:p>
    <w:p>
      <w:pPr>
        <w:jc w:val="both"/>
        <w:ind w:left="1300" w:hanging="320"/>
        <w:spacing w:after="0" w:line="258"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Agents set forth in or made pursuant to this Agreement will remain in full force and effect, regardless of any investigation made by or on behalf of the Agents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229" w:lineRule="exact"/>
        <w:rPr>
          <w:sz w:val="20"/>
          <w:szCs w:val="20"/>
          <w:color w:val="auto"/>
        </w:rPr>
      </w:pPr>
    </w:p>
    <w:p>
      <w:pPr>
        <w:jc w:val="both"/>
        <w:ind w:firstLine="656"/>
        <w:spacing w:after="0" w:line="218" w:lineRule="exact"/>
        <w:tabs>
          <w:tab w:leader="none" w:pos="13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 this Agreement attached as an exhibit thereto, describing the material terms of the transactions contemplated hereby, and the Company shall consult with the Agents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each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parties prior to making such disclosure, and the parties shall use all commercially reasonable efforts, acting in good faith, to agree upon a text for such disclosure that is reasonably satisfactory to all parties hereto.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656"/>
        <w:spacing w:after="0" w:line="253" w:lineRule="auto"/>
        <w:tabs>
          <w:tab w:leader="none" w:pos="163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Agents, (ii) when acting as principals under this Agreement, the Agents are and have been acting solely as principals and are not the agents or fiduciaries of the Company, or its stockholders, creditors, employees or any other party, (iii) the Agents have not assumed nor will assume an advisory or fiduciary responsibility in favor of the Company with respect to the transactions contemplated hereby or the process leading thereto (irrespective of whether the Agents have advised or are currently advising the Company on other matters) and the Agents do not have any obligation to the Company with respect to the transactions contemplated hereby except the obligations expressly set forth in this Agreement, (iv) the Agents and their respective affiliates may be engaged in a broad range of transactions that involve interests that differ from those of the Company, and (v) the Agents have not provided any legal, accounting, regulatory or tax advice with respect to the transactions contemplated hereby and the Company has consulted its own legal, accounting, regulatory and tax advisors to the extent it deemed appropriate.</w:t>
      </w:r>
    </w:p>
    <w:p>
      <w:pPr>
        <w:spacing w:after="0" w:line="194" w:lineRule="exact"/>
        <w:rPr>
          <w:rFonts w:ascii="Times New Roman" w:cs="Times New Roman" w:eastAsia="Times New Roman" w:hAnsi="Times New Roman"/>
          <w:sz w:val="18"/>
          <w:szCs w:val="18"/>
          <w:color w:val="auto"/>
        </w:rPr>
      </w:pPr>
    </w:p>
    <w:p>
      <w:pPr>
        <w:jc w:val="both"/>
        <w:ind w:firstLine="656"/>
        <w:spacing w:after="0" w:line="255" w:lineRule="auto"/>
        <w:tabs>
          <w:tab w:leader="none" w:pos="13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Agents are full service securities firms and as such from time to time, subject to applicable securities laws, may effect transactions for their own accounts or the accounts of their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 as follows: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Agents: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646-562-1130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Head of Equity Capital Markets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CIBLegal@tdsecurities.com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Jeffrey A. Letalien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Attention: Stephen P. Alicanti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13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and in each case their respective successors, and no other person will have any right or obligation hereunder. The term “successors” shall not include any purchaser of the Shares as such from the Agents merely by reason of such purchase.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3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656"/>
        <w:spacing w:after="0" w:line="253" w:lineRule="auto"/>
        <w:tabs>
          <w:tab w:leader="none" w:pos="13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Any signature to this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RECOGNITION OF THE U.S. SPECIAL RESOLUTION REGIMES</w:t>
      </w:r>
    </w:p>
    <w:p>
      <w:pPr>
        <w:spacing w:after="0" w:line="229" w:lineRule="exact"/>
        <w:rPr>
          <w:sz w:val="20"/>
          <w:szCs w:val="20"/>
          <w:color w:val="auto"/>
        </w:rPr>
      </w:pPr>
    </w:p>
    <w:p>
      <w:pPr>
        <w:jc w:val="both"/>
        <w:ind w:firstLine="656"/>
        <w:spacing w:after="0" w:line="261" w:lineRule="auto"/>
        <w:tabs>
          <w:tab w:leader="none" w:pos="141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Agents is a Covered Entity becomes subject to a proceeding under a U.S. Special Resolution Regime, the transfer from the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of the Agents is a Covered Entity or a BHC Act Affiliate of such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2620" w:hanging="668"/>
        <w:spacing w:after="0"/>
        <w:tabs>
          <w:tab w:leader="none" w:pos="2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1964" w:hanging="668"/>
        <w:spacing w:after="0"/>
        <w:tabs>
          <w:tab w:leader="none" w:pos="1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3564" w:right="1560" w:hanging="3564"/>
        <w:spacing w:after="0" w:line="511" w:lineRule="auto"/>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Title II of the Dodd-Frank Wall Street Reform and Consumer Protection Act and the regulations promulgated thereunder. </w:t>
      </w:r>
      <w:r>
        <w:rPr>
          <w:rFonts w:ascii="Times New Roman" w:cs="Times New Roman" w:eastAsia="Times New Roman" w:hAnsi="Times New Roman"/>
          <w:sz w:val="18"/>
          <w:szCs w:val="18"/>
          <w:i w:val="1"/>
          <w:iCs w:val="1"/>
          <w:color w:val="auto"/>
        </w:rPr>
        <w:t>[Signature Page Immediately Follows]</w:t>
      </w:r>
    </w:p>
    <w:p>
      <w:pPr>
        <w:spacing w:after="0" w:line="13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43" w:name="page44"/>
    <w:bookmarkEnd w:id="43"/>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Carl Merton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Agents in New York, New York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Donald Lynaugh</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Michale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Michale Murphy</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ROTH CAPITAL PARTNERS,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 Aaron M. Gurewitz</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 Co-Chief Executive Officer &amp; Head of Investment Banking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LCC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Reference is made to the Open Market Sale Agreement between Tilray Brands,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TD Securities (USA) LLC and Roth Capital Partners, LLC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dated as of April 15, 2026. The Company confirms that all conditions to the delivery of this Issuance Notice are satisfied as of the date hereof.</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13030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0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(equal to the total Sales Price for such Shares):</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4230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Date(s) if other than standard 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291465</wp:posOffset>
            </wp:positionV>
            <wp:extent cx="14230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Designated Agent, which consent may be withheld in the Designated Agent sole discretion): $ ____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43275" cy="171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Merton (Carl.Merton@tilray.com)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 Gendel (Mitchell.Gendel@tilray.com)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Magarro (mmagarro@jefferies.com)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Lynaugh (dlynaugh@jefferies.com)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TD Securities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Murphy (Michael.Murphy3@tdsecurities.com)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Adriano Pierroz (Adriano.Pierroz@tdsecurities.com)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 Follis (William.Follis@tdsecurities.com)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Sanford (Megan.Sanford@tdsecurities.com)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Roth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Equity Capital Markets Team (rothecm@roth.com)</w:t>
      </w:r>
    </w:p>
    <w:p>
      <w:pPr>
        <w:spacing w:after="0" w:line="3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6" w:name="page47"/>
    <w:bookmarkEnd w:id="46"/>
    <w:p>
      <w:pPr>
        <w:ind w:left="4080"/>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283"/>
        </w:trPr>
        <w:tc>
          <w:tcPr>
            <w:tcW w:w="78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 of incorporation or formation</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 Barrel Brewing Idaho,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Idaho,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 Barrel Brewing,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Oregon, United States</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1197879 B.C. Ltd.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14U Pharma GmhH (formerly CC Pharma Research &amp; Development GmbH)</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2618351 Ontario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2656751 Ontario Ltd.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2787643 Ontario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 North Cannabis Corp.</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48North Amalco Ltd.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5048963 Ontario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5054220 Ontario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51st Avenue Denver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9037136 Canada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ABC Beverages Properties,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ABP, S.A</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Argentina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6"/>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American Beverage Crafts Group, Inc. (formerly Four Twenty Corporation)</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American Beverage Crafts,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Aphria Diamond, Inc. (dba Aphria Diamond) (formerly 1974568 Ontario Limited)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Aphria Germany GmbH (formerly Nuuvera Deutschland GmbH)</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Aphria GP Holdings ULC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Aphria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Aphria RX GmbH (formerly Aphria Deutschland GmbH)</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BBI Acquisition Co.</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Blue Point Brewing Company, Inc.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York,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Brewery Lane,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Brewery,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Holding Company,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Santa Fe Drive,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Wynkoop 2, LLC</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BrewDog Brewing Australia Pty Ltd.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BrewDog Ireland Limited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Ireland</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Broken Coast Cannabis Limited Partnership</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47"/>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78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Broken Coast Cannabis Ltd.</w:t>
            </w: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48"/>
        </w:trPr>
        <w:tc>
          <w:tcPr>
            <w:tcW w:w="7880" w:type="dxa"/>
            <w:vAlign w:val="bottom"/>
            <w:tcBorders>
              <w:left w:val="single" w:sz="8" w:color="auto"/>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557"/>
        </w:trPr>
        <w:tc>
          <w:tcPr>
            <w:tcW w:w="788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B-2</w:t>
            </w:r>
          </w:p>
        </w:tc>
        <w:tc>
          <w:tcPr>
            <w:tcW w:w="3360" w:type="dxa"/>
            <w:vAlign w:val="bottom"/>
          </w:tcPr>
          <w:p>
            <w:pPr>
              <w:spacing w:after="0"/>
              <w:rPr>
                <w:sz w:val="24"/>
                <w:szCs w:val="24"/>
                <w:color w:val="auto"/>
              </w:rPr>
            </w:pPr>
          </w:p>
        </w:tc>
      </w:tr>
      <w:tr>
        <w:trPr>
          <w:trHeight w:val="44"/>
        </w:trPr>
        <w:tc>
          <w:tcPr>
            <w:tcW w:w="788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6" w:right="33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46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Cannfections Group Inc.</w:t>
            </w:r>
          </w:p>
        </w:tc>
        <w:tc>
          <w:tcPr>
            <w:tcW w:w="3220" w:type="dxa"/>
            <w:vAlign w:val="bottom"/>
            <w:tcBorders>
              <w:top w:val="single" w:sz="8" w:color="auto"/>
              <w:right w:val="single" w:sz="8" w:color="auto"/>
            </w:tcBorders>
          </w:tcPr>
          <w:p>
            <w:pPr>
              <w:spacing w:after="0"/>
              <w:rPr>
                <w:sz w:val="24"/>
                <w:szCs w:val="24"/>
                <w:color w:val="auto"/>
              </w:rPr>
            </w:pP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CC Pharma GmbH</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Cheese Grits, LLC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Georgia, United States</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Colcanna S.A.S</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DelShen Therapeutics Corp.</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Detroit Rivertown Brewing Company, LLC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Michigan, United States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Dorada Ventures Ltd.</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Double Diamond Distillery, LLC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Colorado, United States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FHF Holdings f/k/a 1037270 B.C. Ltd.</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Fresh Hemp Foods Ltd. d/b/a Manitoba</w:t>
            </w:r>
          </w:p>
        </w:tc>
        <w:tc>
          <w:tcPr>
            <w:tcW w:w="32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126"/>
        </w:trPr>
        <w:tc>
          <w:tcPr>
            <w:tcW w:w="46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Harvest</w:t>
            </w:r>
          </w:p>
        </w:tc>
        <w:tc>
          <w:tcPr>
            <w:tcW w:w="322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Borders>
              <w:left w:val="single" w:sz="8" w:color="auto"/>
            </w:tcBorders>
            <w:vMerge w:val="continue"/>
          </w:tcPr>
          <w:p>
            <w:pPr>
              <w:spacing w:after="0"/>
              <w:rPr>
                <w:sz w:val="9"/>
                <w:szCs w:val="9"/>
                <w:color w:val="auto"/>
              </w:rPr>
            </w:pPr>
          </w:p>
        </w:tc>
        <w:tc>
          <w:tcPr>
            <w:tcW w:w="322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 &amp; Green Cannabis Corp.</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Good &amp; Green Corp.</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Hampstead International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Barbados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Hexo Corp.</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Hexo Operations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HEXO USA,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Hiball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 Park Botanicals BV</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 Park Farms Ltd. f/k/a Bouchard Ventures</w:t>
            </w:r>
          </w:p>
        </w:tc>
        <w:tc>
          <w:tcPr>
            <w:tcW w:w="32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126"/>
        </w:trPr>
        <w:tc>
          <w:tcPr>
            <w:tcW w:w="46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Ltd"</w:t>
            </w:r>
          </w:p>
        </w:tc>
        <w:tc>
          <w:tcPr>
            <w:tcW w:w="322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Borders>
              <w:left w:val="single" w:sz="8" w:color="auto"/>
            </w:tcBorders>
            <w:vMerge w:val="continue"/>
          </w:tcPr>
          <w:p>
            <w:pPr>
              <w:spacing w:after="0"/>
              <w:rPr>
                <w:sz w:val="9"/>
                <w:szCs w:val="9"/>
                <w:color w:val="auto"/>
              </w:rPr>
            </w:pPr>
          </w:p>
        </w:tc>
        <w:tc>
          <w:tcPr>
            <w:tcW w:w="322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 Park Gardens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 Park Holding B.V.</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 Park Holdings Ltd .f/k/a High Park Cannabis</w:t>
            </w:r>
          </w:p>
        </w:tc>
        <w:tc>
          <w:tcPr>
            <w:tcW w:w="32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126"/>
        </w:trPr>
        <w:tc>
          <w:tcPr>
            <w:tcW w:w="46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Corp"</w:t>
            </w:r>
          </w:p>
        </w:tc>
        <w:tc>
          <w:tcPr>
            <w:tcW w:w="322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Borders>
              <w:left w:val="single" w:sz="8" w:color="auto"/>
            </w:tcBorders>
            <w:vMerge w:val="continue"/>
          </w:tcPr>
          <w:p>
            <w:pPr>
              <w:spacing w:after="0"/>
              <w:rPr>
                <w:sz w:val="9"/>
                <w:szCs w:val="9"/>
                <w:color w:val="auto"/>
              </w:rPr>
            </w:pPr>
          </w:p>
        </w:tc>
        <w:tc>
          <w:tcPr>
            <w:tcW w:w="322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High Park Shops,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Latam Holdings,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Liquid Gr, LLC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Michigan, United States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Manitoba Harvest USA, LLC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Marigold Acquisitions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Mckenzie River Brewing Company, LLC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Oregon, United States</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MedMen HoldCo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MMJ INTERNATIONAL</w:t>
            </w:r>
          </w:p>
        </w:tc>
        <w:tc>
          <w:tcPr>
            <w:tcW w:w="32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126"/>
        </w:trPr>
        <w:tc>
          <w:tcPr>
            <w:tcW w:w="46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INVESTMENTS INC.</w:t>
            </w:r>
          </w:p>
        </w:tc>
        <w:tc>
          <w:tcPr>
            <w:tcW w:w="322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tcBorders>
              <w:left w:val="single" w:sz="8" w:color="auto"/>
            </w:tcBorders>
            <w:vMerge w:val="continue"/>
          </w:tcPr>
          <w:p>
            <w:pPr>
              <w:spacing w:after="0"/>
              <w:rPr>
                <w:sz w:val="9"/>
                <w:szCs w:val="9"/>
                <w:color w:val="auto"/>
              </w:rPr>
            </w:pPr>
          </w:p>
        </w:tc>
        <w:tc>
          <w:tcPr>
            <w:tcW w:w="322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Montauk Brewing Company, Inc.</w:t>
            </w:r>
          </w:p>
        </w:tc>
        <w:tc>
          <w:tcPr>
            <w:tcW w:w="32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York, United States</w:t>
            </w:r>
          </w:p>
        </w:tc>
        <w:tc>
          <w:tcPr>
            <w:tcW w:w="0" w:type="dxa"/>
            <w:vAlign w:val="bottom"/>
          </w:tcPr>
          <w:p>
            <w:pPr>
              <w:spacing w:after="0"/>
              <w:rPr>
                <w:sz w:val="1"/>
                <w:szCs w:val="1"/>
                <w:color w:val="auto"/>
              </w:rPr>
            </w:pPr>
          </w:p>
        </w:tc>
      </w:tr>
      <w:tr>
        <w:trPr>
          <w:trHeight w:val="47"/>
        </w:trPr>
        <w:tc>
          <w:tcPr>
            <w:tcW w:w="4660" w:type="dxa"/>
            <w:vAlign w:val="bottom"/>
            <w:tcBorders>
              <w:left w:val="single" w:sz="8" w:color="auto"/>
              <w:bottom w:val="single" w:sz="8" w:color="auto"/>
            </w:tcBorders>
          </w:tcPr>
          <w:p>
            <w:pPr>
              <w:spacing w:after="0"/>
              <w:rPr>
                <w:sz w:val="4"/>
                <w:szCs w:val="4"/>
                <w:color w:val="auto"/>
              </w:rPr>
            </w:pPr>
          </w:p>
        </w:tc>
        <w:tc>
          <w:tcPr>
            <w:tcW w:w="32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57"/>
        </w:trPr>
        <w:tc>
          <w:tcPr>
            <w:tcW w:w="4660" w:type="dxa"/>
            <w:vAlign w:val="bottom"/>
          </w:tcPr>
          <w:p>
            <w:pPr>
              <w:spacing w:after="0"/>
              <w:rPr>
                <w:sz w:val="24"/>
                <w:szCs w:val="24"/>
                <w:color w:val="auto"/>
              </w:rPr>
            </w:pPr>
          </w:p>
        </w:tc>
        <w:tc>
          <w:tcPr>
            <w:tcW w:w="65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B-3</w:t>
            </w:r>
          </w:p>
        </w:tc>
        <w:tc>
          <w:tcPr>
            <w:tcW w:w="0" w:type="dxa"/>
            <w:vAlign w:val="bottom"/>
          </w:tcPr>
          <w:p>
            <w:pPr>
              <w:spacing w:after="0"/>
              <w:rPr>
                <w:sz w:val="1"/>
                <w:szCs w:val="1"/>
                <w:color w:val="auto"/>
              </w:rPr>
            </w:pPr>
          </w:p>
        </w:tc>
      </w:tr>
      <w:tr>
        <w:trPr>
          <w:trHeight w:val="44"/>
        </w:trPr>
        <w:tc>
          <w:tcPr>
            <w:tcW w:w="466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76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Natura Naturals Holdings. Inc.</w:t>
            </w:r>
          </w:p>
        </w:tc>
        <w:tc>
          <w:tcPr>
            <w:tcW w:w="3120" w:type="dxa"/>
            <w:vAlign w:val="bottom"/>
            <w:tcBorders>
              <w:top w:val="single" w:sz="8" w:color="auto"/>
              <w:right w:val="single" w:sz="8" w:color="auto"/>
            </w:tcBorders>
          </w:tcPr>
          <w:p>
            <w:pPr>
              <w:spacing w:after="0"/>
              <w:rPr>
                <w:sz w:val="24"/>
                <w:szCs w:val="24"/>
                <w:color w:val="auto"/>
              </w:rPr>
            </w:pP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"Natura Naturals</w:t>
            </w:r>
          </w:p>
        </w:tc>
        <w:tc>
          <w:tcPr>
            <w:tcW w:w="3120" w:type="dxa"/>
            <w:vAlign w:val="bottom"/>
            <w:tcBorders>
              <w:right w:val="single" w:sz="8" w:color="auto"/>
            </w:tcBorders>
          </w:tcPr>
          <w:p>
            <w:pPr>
              <w:spacing w:after="0"/>
              <w:rPr>
                <w:sz w:val="20"/>
                <w:szCs w:val="20"/>
                <w:color w:val="auto"/>
              </w:rPr>
            </w:pPr>
          </w:p>
        </w:tc>
        <w:tc>
          <w:tcPr>
            <w:tcW w:w="33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126"/>
        </w:trPr>
        <w:tc>
          <w:tcPr>
            <w:tcW w:w="476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3120" w:type="dxa"/>
            <w:vAlign w:val="bottom"/>
            <w:tcBorders>
              <w:right w:val="single" w:sz="8" w:color="auto"/>
            </w:tcBorders>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60" w:type="dxa"/>
            <w:vAlign w:val="bottom"/>
            <w:tcBorders>
              <w:left w:val="single" w:sz="8" w:color="auto"/>
            </w:tcBorders>
            <w:vMerge w:val="continue"/>
          </w:tcPr>
          <w:p>
            <w:pPr>
              <w:spacing w:after="0"/>
              <w:rPr>
                <w:sz w:val="9"/>
                <w:szCs w:val="9"/>
                <w:color w:val="auto"/>
              </w:rPr>
            </w:pPr>
          </w:p>
        </w:tc>
        <w:tc>
          <w:tcPr>
            <w:tcW w:w="3120" w:type="dxa"/>
            <w:vAlign w:val="bottom"/>
            <w:tcBorders>
              <w:right w:val="single" w:sz="8" w:color="auto"/>
            </w:tcBorders>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Nuuvera Holdings Limited</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Ottley Drive Corporation</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Brewing,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Michigan,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PDX Mississippi Ave,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Privateer Evolution,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Privateer Holdings, Inc.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Revolver Brewing,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Texas,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Solana Life Group, S de R.L.</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Panama</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Superhero Acquisition Corp.</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Superhero Acquisition L.P.</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Superhero Ip Holdco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Superhero NewCo Inc.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Superhero NoteCo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 Brewing Company,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Sweetwater Brewing Company,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Georgia,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Sweetwater Colorado Brewing Company,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Terrapin Beer Company,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Georgia,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ABC,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Alternative Beverages,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Australia New Zealand Pty Ltd.</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Beverages Properties,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Beverages UK Limited</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Brands UK Ltd (f/k/a Tilray Wellness UK Ltd.)</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Brands, Inc.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BrewDog U.S., Inc.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BrewDog U.S. Holdco, Inc.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Deutschland GmbH fka Pining Ventures GmbH</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Enroot,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Fort Collins,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France SaS</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Holdco M, LLC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Medical Italia S.R.L. (fka FL Group S.R.L)</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47"/>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7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Medical U.S.A., Inc.</w:t>
            </w:r>
          </w:p>
        </w:tc>
        <w:tc>
          <w:tcPr>
            <w:tcW w:w="312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48"/>
        </w:trPr>
        <w:tc>
          <w:tcPr>
            <w:tcW w:w="4760" w:type="dxa"/>
            <w:vAlign w:val="bottom"/>
            <w:tcBorders>
              <w:left w:val="single" w:sz="8" w:color="auto"/>
              <w:bottom w:val="single" w:sz="8" w:color="auto"/>
            </w:tcBorders>
          </w:tcPr>
          <w:p>
            <w:pPr>
              <w:spacing w:after="0"/>
              <w:rPr>
                <w:sz w:val="4"/>
                <w:szCs w:val="4"/>
                <w:color w:val="auto"/>
              </w:rPr>
            </w:pPr>
          </w:p>
        </w:tc>
        <w:tc>
          <w:tcPr>
            <w:tcW w:w="312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57"/>
        </w:trPr>
        <w:tc>
          <w:tcPr>
            <w:tcW w:w="4760" w:type="dxa"/>
            <w:vAlign w:val="bottom"/>
          </w:tcPr>
          <w:p>
            <w:pPr>
              <w:spacing w:after="0"/>
              <w:rPr>
                <w:sz w:val="24"/>
                <w:szCs w:val="24"/>
                <w:color w:val="auto"/>
              </w:rPr>
            </w:pPr>
          </w:p>
        </w:tc>
        <w:tc>
          <w:tcPr>
            <w:tcW w:w="64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B-4</w:t>
            </w:r>
          </w:p>
        </w:tc>
        <w:tc>
          <w:tcPr>
            <w:tcW w:w="0" w:type="dxa"/>
            <w:vAlign w:val="bottom"/>
          </w:tcPr>
          <w:p>
            <w:pPr>
              <w:spacing w:after="0"/>
              <w:rPr>
                <w:sz w:val="1"/>
                <w:szCs w:val="1"/>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92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Portugal Unipoessal Lda</w:t>
            </w:r>
          </w:p>
        </w:tc>
        <w:tc>
          <w:tcPr>
            <w:tcW w:w="3960" w:type="dxa"/>
            <w:vAlign w:val="bottom"/>
            <w:tcBorders>
              <w:top w:val="single" w:sz="8" w:color="auto"/>
              <w:right w:val="single" w:sz="8" w:color="auto"/>
            </w:tcBorders>
          </w:tcPr>
          <w:p>
            <w:pPr>
              <w:spacing w:after="0"/>
              <w:rPr>
                <w:sz w:val="24"/>
                <w:szCs w:val="24"/>
                <w:color w:val="auto"/>
              </w:rPr>
            </w:pPr>
          </w:p>
        </w:tc>
        <w:tc>
          <w:tcPr>
            <w:tcW w:w="33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Portugal</w:t>
            </w:r>
          </w:p>
        </w:tc>
      </w:tr>
      <w:tr>
        <w:trPr>
          <w:trHeight w:val="48"/>
        </w:trPr>
        <w:tc>
          <w:tcPr>
            <w:tcW w:w="3920" w:type="dxa"/>
            <w:vAlign w:val="bottom"/>
            <w:tcBorders>
              <w:left w:val="single" w:sz="8" w:color="auto"/>
              <w:bottom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Services 1, LLC</w:t>
            </w:r>
          </w:p>
        </w:tc>
        <w:tc>
          <w:tcPr>
            <w:tcW w:w="396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7"/>
        </w:trPr>
        <w:tc>
          <w:tcPr>
            <w:tcW w:w="3920" w:type="dxa"/>
            <w:vAlign w:val="bottom"/>
            <w:tcBorders>
              <w:left w:val="single" w:sz="8" w:color="auto"/>
              <w:bottom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Ventures Ltd.</w:t>
            </w:r>
          </w:p>
        </w:tc>
        <w:tc>
          <w:tcPr>
            <w:tcW w:w="396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Ireland</w:t>
            </w:r>
          </w:p>
        </w:tc>
      </w:tr>
      <w:tr>
        <w:trPr>
          <w:trHeight w:val="48"/>
        </w:trPr>
        <w:tc>
          <w:tcPr>
            <w:tcW w:w="3920" w:type="dxa"/>
            <w:vAlign w:val="bottom"/>
            <w:tcBorders>
              <w:left w:val="single" w:sz="8" w:color="auto"/>
              <w:bottom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Wellness, LLC</w:t>
            </w:r>
          </w:p>
        </w:tc>
        <w:tc>
          <w:tcPr>
            <w:tcW w:w="396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48"/>
        </w:trPr>
        <w:tc>
          <w:tcPr>
            <w:tcW w:w="3920" w:type="dxa"/>
            <w:vAlign w:val="bottom"/>
            <w:tcBorders>
              <w:left w:val="single" w:sz="8" w:color="auto"/>
              <w:bottom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257"/>
        </w:trPr>
        <w:tc>
          <w:tcPr>
            <w:tcW w:w="39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Truss CBD USA, LLC</w:t>
            </w:r>
          </w:p>
        </w:tc>
        <w:tc>
          <w:tcPr>
            <w:tcW w:w="3960" w:type="dxa"/>
            <w:vAlign w:val="bottom"/>
            <w:tcBorders>
              <w:right w:val="single" w:sz="8" w:color="auto"/>
            </w:tcBorders>
          </w:tcPr>
          <w:p>
            <w:pPr>
              <w:spacing w:after="0"/>
              <w:rPr>
                <w:sz w:val="22"/>
                <w:szCs w:val="22"/>
                <w:color w:val="auto"/>
              </w:rPr>
            </w:pPr>
          </w:p>
        </w:tc>
        <w:tc>
          <w:tcPr>
            <w:tcW w:w="33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48"/>
        </w:trPr>
        <w:tc>
          <w:tcPr>
            <w:tcW w:w="3920" w:type="dxa"/>
            <w:vAlign w:val="bottom"/>
            <w:tcBorders>
              <w:left w:val="single" w:sz="8" w:color="auto"/>
              <w:bottom w:val="single" w:sz="8" w:color="auto"/>
            </w:tcBorders>
          </w:tcPr>
          <w:p>
            <w:pPr>
              <w:spacing w:after="0"/>
              <w:rPr>
                <w:sz w:val="4"/>
                <w:szCs w:val="4"/>
                <w:color w:val="auto"/>
              </w:rPr>
            </w:pPr>
          </w:p>
        </w:tc>
        <w:tc>
          <w:tcPr>
            <w:tcW w:w="39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r>
        <w:trPr>
          <w:trHeight w:val="598"/>
        </w:trPr>
        <w:tc>
          <w:tcPr>
            <w:tcW w:w="3920" w:type="dxa"/>
            <w:vAlign w:val="bottom"/>
          </w:tcPr>
          <w:p>
            <w:pPr>
              <w:spacing w:after="0"/>
              <w:rPr>
                <w:sz w:val="24"/>
                <w:szCs w:val="24"/>
                <w:color w:val="auto"/>
              </w:rPr>
            </w:pPr>
          </w:p>
        </w:tc>
        <w:tc>
          <w:tcPr>
            <w:tcW w:w="7320" w:type="dxa"/>
            <w:vAlign w:val="bottom"/>
            <w:gridSpan w:val="2"/>
          </w:tcPr>
          <w:p>
            <w:pPr>
              <w:ind w:left="1600"/>
              <w:spacing w:after="0"/>
              <w:rPr>
                <w:sz w:val="20"/>
                <w:szCs w:val="20"/>
                <w:color w:val="auto"/>
              </w:rPr>
            </w:pPr>
            <w:r>
              <w:rPr>
                <w:rFonts w:ascii="Times New Roman" w:cs="Times New Roman" w:eastAsia="Times New Roman" w:hAnsi="Times New Roman"/>
                <w:sz w:val="14"/>
                <w:szCs w:val="14"/>
                <w:color w:val="auto"/>
              </w:rPr>
              <w:t>B-5</w:t>
            </w:r>
          </w:p>
        </w:tc>
      </w:tr>
      <w:tr>
        <w:trPr>
          <w:trHeight w:val="84"/>
        </w:trPr>
        <w:tc>
          <w:tcPr>
            <w:tcW w:w="392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0"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311275" cy="7632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11275" cy="763270"/>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27th Floor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www.dlapiper.com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special counsel to Tilray Brands,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issuance and sale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from time to time of shares of the Company’s common stock, par value $0.0001 per share, having an aggregate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$180,000,000 (the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pursuant to the registration statement on Form S-3, filed with the Securities and Exchange Commission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October 9, 2025, which became automatically effective upon filing (the “</w:t>
      </w:r>
      <w:r>
        <w:rPr>
          <w:rFonts w:ascii="Times New Roman" w:cs="Times New Roman" w:eastAsia="Times New Roman" w:hAnsi="Times New Roman"/>
          <w:sz w:val="18"/>
          <w:szCs w:val="18"/>
          <w:b w:val="1"/>
          <w:bCs w:val="1"/>
          <w:i w:val="1"/>
          <w:iCs w:val="1"/>
          <w:color w:val="auto"/>
        </w:rPr>
        <w:t>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the prospectus supplement, dated April 15,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equity distribution agreement, dated April 15, 2026, 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Company, on the one hand, and TD Securities (USA) LLC, Jefferies LLC and Roth Capital Partners, LLC, as sales agents and/or principals, on</w:t>
      </w:r>
    </w:p>
    <w:p>
      <w:pPr>
        <w:spacing w:after="0" w:line="181" w:lineRule="auto"/>
        <w:rPr>
          <w:sz w:val="20"/>
          <w:szCs w:val="20"/>
          <w:color w:val="auto"/>
        </w:rPr>
      </w:pPr>
      <w:r>
        <w:rPr>
          <w:rFonts w:ascii="Times New Roman" w:cs="Times New Roman" w:eastAsia="Times New Roman" w:hAnsi="Times New Roman"/>
          <w:sz w:val="16"/>
          <w:szCs w:val="16"/>
          <w:color w:val="auto"/>
        </w:rPr>
        <w:t>the other hand (the “</w:t>
      </w:r>
      <w:r>
        <w:rPr>
          <w:rFonts w:ascii="Times New Roman" w:cs="Times New Roman" w:eastAsia="Times New Roman" w:hAnsi="Times New Roman"/>
          <w:sz w:val="16"/>
          <w:szCs w:val="16"/>
          <w:b w:val="1"/>
          <w:bCs w:val="1"/>
          <w:i w:val="1"/>
          <w:iCs w:val="1"/>
          <w:color w:val="auto"/>
        </w:rPr>
        <w:t>Open Market Sales Agreement</w:t>
      </w:r>
      <w:r>
        <w:rPr>
          <w:rFonts w:ascii="Times New Roman" w:cs="Times New Roman" w:eastAsia="Times New Roman" w:hAnsi="Times New Roman"/>
          <w:sz w:val="26"/>
          <w:szCs w:val="26"/>
          <w:b w:val="1"/>
          <w:bCs w:val="1"/>
          <w:i w:val="1"/>
          <w:iCs w:val="1"/>
          <w:color w:val="auto"/>
          <w:vertAlign w:val="superscript"/>
        </w:rPr>
        <w:t>SM</w:t>
      </w:r>
      <w:r>
        <w:rPr>
          <w:rFonts w:ascii="Times New Roman" w:cs="Times New Roman" w:eastAsia="Times New Roman" w:hAnsi="Times New Roman"/>
          <w:sz w:val="16"/>
          <w:szCs w:val="16"/>
          <w:color w:val="auto"/>
        </w:rPr>
        <w:t>”). This opinion letter is being furnished in connection with the filing of the Prospectus Supplement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Registration Statement in accordance with the requirements of Item 16 of Form S-3 and Item 601(b)(5)(i) of Regulation S-K.</w:t>
      </w:r>
    </w:p>
    <w:p>
      <w:pPr>
        <w:spacing w:after="0" w:line="195"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As special counsel for the Company, we have examined the Registration Statement, the Prospectus, the Open Market Sales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and originals or copies, certified or otherwise identified to our satisfaction, of the certificate of incorporation, as amended, of the Company, the bylaws, as amended, of the Company, resolutions, or actions by written consent, of the board of directors of the Company (or a committee thereof) relating to the authorization of the issuance and sale of the Common Shares, among other things, and approval of the Open Market Sales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and such documents, corporate records, certificates of public officials and other instruments as we have deemed necessary for the purposes of rendering this opinion, and we are familiar with the proceedings taken and proposed to be taken by the Company in relation to the registration of the issuance and sale of the Common Shares.</w:t>
      </w:r>
    </w:p>
    <w:p>
      <w:pPr>
        <w:spacing w:after="0" w:line="19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 This opinion letter is given, and all statements herein are made, in the context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66"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18"/>
          <w:szCs w:val="18"/>
          <w:color w:val="auto"/>
        </w:rPr>
        <w:t>We express no opinion concerning any laws of any state or jurisdiction other than those provisions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which, in the experience of our attorneys who are members of the bar in New York, in the exercise of customary professional diligence, are normally applicable to transactions of the type contemplated in the Open Market Sales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but without our having made any special investigation concerning any other law, rule or regulation, in each case in effect on the date hereof. With respect to our opinion based on the DGCL, our examination has been limited to a review of such laws as reported in standard, unofficial compilations. Our opinion is based on these laws as in effect on the date hereof.</w:t>
      </w:r>
    </w:p>
    <w:p>
      <w:pPr>
        <w:spacing w:after="0" w:line="20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opinion expressed below, we have assumed that at or prior to the time of issuance of the Common Shares, the Registration Statement will not have been modified, withdrawn or deregistered and that there will not have occurred any change in law affecting the validity of the issuance of the Common Shares.</w:t>
      </w:r>
    </w:p>
    <w:p>
      <w:pPr>
        <w:spacing w:after="0" w:line="176" w:lineRule="exact"/>
        <w:rPr>
          <w:sz w:val="20"/>
          <w:szCs w:val="20"/>
          <w:color w:val="auto"/>
        </w:rPr>
      </w:pPr>
    </w:p>
    <w:p>
      <w:pPr>
        <w:ind w:right="120" w:firstLine="648"/>
        <w:spacing w:after="0" w:line="270"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we are of the opinion that the Common Shares have been duly authorized by the Company and, when issued and sold by the Company and delivered by the Company against receipt of the purchase price therefor, in the manner contemplated by the Open Market Sales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will be validly issued, fully paid and non-assessable.</w:t>
      </w:r>
    </w:p>
    <w:p>
      <w:pPr>
        <w:spacing w:after="0" w:line="2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in this letter are limited to the matters set forth in this letter, and no other opinion should be inferred beyond the matters expressly stated. This letter is rendered as of the date hereof and we disclaim any undertaking to advise you hereafter of any facts, circumstances, events or developments hereafter occurring or coming to our attention which may alter, affect or modify the opinions or confirmations expressed herein.</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5.1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 DLA Piper LLP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Accelerates Next Phase of Global Growth and Market Leadership</w:t>
      </w:r>
    </w:p>
    <w:p>
      <w:pPr>
        <w:spacing w:after="0" w:line="225"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Tilray Advances UK Healthcare Platform with Lyphe Acquisition, Positions BrewDog for Strong Growth, and Prepares for U.S. Rescheduling and Medical Cannabis Opportunity</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NEW YORK and LEAMINGTON, Ontario — April 15, 2026 — </w:t>
      </w: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(“Tilray”, “our”, “we” or the “Company”) (NASDAQ: TLRY; TSX: TLRY), a global lifestyle and consumer packaged goods company at the forefront of the cannabis, beverage, and wellness industries, today announced a series of strategic initiatives marking its next phase of global growth, expanding its leadership across healthcare, cannabis and beverage while strengthening its ability to expand internationally and capture emerging market opportunities.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Irwin D. Simon, Chairman and Chief Executive Officer, Tilray Brands, stated: </w:t>
      </w:r>
      <w:r>
        <w:rPr>
          <w:rFonts w:ascii="Times New Roman" w:cs="Times New Roman" w:eastAsia="Times New Roman" w:hAnsi="Times New Roman"/>
          <w:sz w:val="18"/>
          <w:szCs w:val="18"/>
          <w:color w:val="auto"/>
        </w:rPr>
        <w:t>“Tilray Brands is setting the pace for global innovation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cannabis, and craft beverages - each a distinct growth engine within our platform. This is a defining moment as we enter our next phase of global growth. We are executing against our strategic plan with focus, expanding our international medical platform, accelerating the growth of iconic beverage brands like BrewDog, and positioning ourselves for the U.S. medical cannabis opportunity. At the same time, we are maintaining the financial flexibility to invest behind our brands, infrastructure and capabilities to continue to scale our global platform. Together, these actions further position Tilray as a scaled, diversified global platform with multiple near- and long-term growth drivers - and one of the most dynamic and exciting consumer companies today.”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Expands UK Medical Platform with Acquisition of Lyphe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Tilray acquired the Lyphe Group, a leading UK-based medical cannabis clinic and digital pharmacy platform, with Lyphe Dispensary having dispensed approximately 150,000 units to date and Lyphe Clinic having treated over 16,000 patients to date, anchoring and expanding Tilray Medical’s footprint in one of Europe’s largest and most dynamic healthcare markets. The addition of Lyphe strengthens Tilray’s vertically integrated medical ecosystem by combining clinical services, patient access, and pharmaceutical distribution. Through Lyphe’s online clinic and pharmacy platform, Tilray will enhance access to medical cannabis while accelerating its existing capabilities in dispensing traditional prescription medicines, creating a seamless, digitally enabled patient experience.</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Importantly with the addition of the Lyphe Group, Tilray Medical its first fully vertically integrated, patient-centric medical platform which combines pharmaceutical-grade medical cannabis cultivation and production with clinical care, dispensing services, and pharmaceutical distribution. The integration of Lyphe’s highly skilled patient care teams further differentiates this model, enabling a more personalized, seamless, and comprehensive approach to patient care and outcomes. Tilray will also leverage CC Pharma’s established scale, sourcing capabilities, and purchasing power to more efficiently supply medications through the Lyphe platform, supporting broader patient needs across the UK and further strengthening Tilray’s European pharmaceutical distribution network.</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Rajnish Ohri, President, International, Tilray Brands, stated: </w:t>
      </w:r>
      <w:r>
        <w:rPr>
          <w:rFonts w:ascii="Times New Roman" w:cs="Times New Roman" w:eastAsia="Times New Roman" w:hAnsi="Times New Roman"/>
          <w:sz w:val="18"/>
          <w:szCs w:val="18"/>
          <w:color w:val="auto"/>
        </w:rPr>
        <w:t>“I’m proud to welcome the Lyphe team to Tilray, bringing deep clinical expertise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 patient-first approach that immediately strengthens our capabilities. This acquisition marks an important step in the continued expansion of Tilray Medical as a global healthcare platform. By integrating Lyphe Group’s clinical and dispensing expertise and digital patient access with our established pharmaceutical distribution capabilities, we are enhancing our ability to serve patients across the UK. We expect this business to be accretive in 2027 and see a compelling opportunity to build a fully connected, international medical ecosystem that delivers consistent, high-quality care while expanding access to both medical cannabis and traditional therapies.”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BrewDog and Beverage Platform: Accelerating Growth, Scaling Globally, and Investing for Expansion</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Six weeks following Tilray’s acquisition of BrewDog, the Company has moved with speed and discipline to stabilize and strengthen the platform, positioning the brand for its next phase of growth. Tilray has stabilized brewing volumes, maintained service levels across channels to ensure consistent stock availability, and has begun onboarding new distribution and strategic partners to support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4" w:name="page55"/>
    <w:bookmarkEnd w:id="54"/>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Mr. Simon added: </w:t>
      </w:r>
      <w:r>
        <w:rPr>
          <w:rFonts w:ascii="Times New Roman" w:cs="Times New Roman" w:eastAsia="Times New Roman" w:hAnsi="Times New Roman"/>
          <w:sz w:val="18"/>
          <w:szCs w:val="18"/>
          <w:color w:val="auto"/>
        </w:rPr>
        <w:t>“Our priorities are clear: strengthen BrewDog, accelerate innovation, and scale our global beverage platform. We are already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decisive steps to reinvest in the BrewDog brand, innovation pipeline, and brewpub experience, and we see a clear path to rebuilding BrewDog toward its prior valuation of over $1 billion. We are executing against a focused plan to expand BrewDog across the UK, Australia, and the United States, while further developing the brand in key growth markets, including the Middle East and India. At the same time, we are leveraging our infrastructure and distribution network to scale our broader beverage portfolio and support the growth of our American craft brands in the UK and global partners like Carlsberg across the U.S. This is about unlocking incremental volume, expanding distribution, and increasing utilization across our platform to drive sustainable, long-term growth.”</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Tilray expects the BrewDog business to be cash flow positive in 2027 and is making targeted investments in the brand and the revitalization and modernization of its existing brewpub estate - areas that have seen limited investment in recent years. This provides a strong foundation to enhance performance through targeted operational improvements and focused brand building. These efforts are centered on reimagining the brewpub experience to better connect with today’s consumers while positioning the brand for long-term relevance. By elevating the in-venue experience with modern activations, strengthening brand engagement, and aligning with evolving consumer preferences, as part of this, Tilray will invest in a “brewpub of the future” at one of its existing locations, allowing it to analyze, assess and recommend future changes in its brewpub network. Tilray is building a more compelling BrewDog platform for the future.</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Tilray is also seeing strong and growing demand for its American craft portfolio in the UK, creating near-term opportunities to expand distribution and build brand presence across the market. Building on this momentum, the Company plans to launch Hi*Ball Energy in the UK in May, further broadening its beverage offering and capturing incremental consumer demand within the fast-growing functional beverage category.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Positioned for U.S. Rescheduling and Medical Cannabis Opportunity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United States, we are closely monitoring the rescheduling of medical cannabis and are actively engaged with legislators and regulators as they evaluate and work towards this important evolution in drug policy. We are also evaluating our participation in the Center for Medicare and Medicaid Innovation pilot program, which provides the opportunity to partner with Accountable Care Organizations and oncology practices to supply underserved and vulnerable patients with hemp-derived medical cannabis to provide therapeutic, safe access to medical cannabinoid products and gather data on patient outcomes.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Denise Faltischek, Chief Strategy Officer and Head of M&amp;A, Tilray Brands, stated: “</w:t>
      </w:r>
      <w:r>
        <w:rPr>
          <w:rFonts w:ascii="Times New Roman" w:cs="Times New Roman" w:eastAsia="Times New Roman" w:hAnsi="Times New Roman"/>
          <w:sz w:val="18"/>
          <w:szCs w:val="18"/>
          <w:color w:val="auto"/>
        </w:rPr>
        <w:t>Upon rescheduling, Tilray Medical is strategically positioned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U.S. regulated medical cannabis market, evidenced by our proven track record of operating at scale in highly-regulated medical cannabis markets globally, supported by our pharmaceutical quality systems, scientific expertise, and our ongoing commitment to education and clinical research. We believe that rescheduling will occur in the near-term and, when it does, we are well-positioned to seize the opportunity.”</w:t>
      </w:r>
    </w:p>
    <w:p>
      <w:pPr>
        <w:spacing w:after="0" w:line="180"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7"/>
          <w:szCs w:val="17"/>
          <w:color w:val="auto"/>
        </w:rPr>
        <w:t>Through our global Tilray Medical platform, Tilray Medical brings extensive experience in pharmaceutical-grade cultivation, manufacturing, and distribution, supported by clinical research and regulatory expertise in more than 20 markets worldwide. Tilray Medical has supported hundreds of thousands of patients worldwide and offers a broad portfolio of medical cannabis products including CBD and THC - beverages, edibles, and topicals.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Files ATM Program to Accelerate Global Beverage Expansion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 support this next phase of growth, Tilray also announces the filing of an at-the-market equity program (“ATM program”) of up to $180 million, to enhance financial flexibility and to invest behind its global beverage platform. The ATM program will be managed by Jefferies LLC, TD Securities (USA) LLC and 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82" w:right="399" w:bottom="1440" w:gutter="0" w:footer="0" w:header="0"/>
        </w:sectPr>
      </w:pPr>
    </w:p>
    <w:bookmarkStart w:id="55" w:name="page56"/>
    <w:bookmarkEnd w:id="55"/>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Carl Merton, Chief Financial Officer, Tilray Brands, stated: </w:t>
      </w:r>
      <w:r>
        <w:rPr>
          <w:rFonts w:ascii="Times New Roman" w:cs="Times New Roman" w:eastAsia="Times New Roman" w:hAnsi="Times New Roman"/>
          <w:sz w:val="18"/>
          <w:szCs w:val="18"/>
          <w:color w:val="auto"/>
        </w:rPr>
        <w:t>“We remain focused on disciplined capital allocation, prioritizing investments that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long-term growth strategy while maintaining a strong balance sheet. This structure allows us to align capital deployment with evolving market conditions and our operational priorities.”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12121"/>
        </w:rPr>
        <w:t xml:space="preserve">Shares under the ATM program will be offered and sold only by means of a prospectus supplement and accompanying base prospectus forming part of a registration statement on Form S-3 (File No. 333-267788) filed with the Securities and Exchange Commission, copies of which may be obtained for free by visiting EDGAR on the SEC’s website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12121"/>
        </w:rPr>
        <w:t xml:space="preserve">. Alternatively, a copy of the prospectus supplement and accompanying base prospectus relating to the ATM program may be obtained from Jefferies LLC, Attn: Equity Syndicate Prospectus Department, 520 Madison Avenue, New York, NY 10022, by telephone at (877) 821-7388, or by email at </w:t>
      </w:r>
      <w:r>
        <w:rPr>
          <w:rFonts w:ascii="Times New Roman" w:cs="Times New Roman" w:eastAsia="Times New Roman" w:hAnsi="Times New Roman"/>
          <w:sz w:val="18"/>
          <w:szCs w:val="18"/>
          <w:color w:val="000000"/>
        </w:rPr>
        <w:t>Prospectus_Department@jefferies.com</w:t>
      </w:r>
      <w:r>
        <w:rPr>
          <w:rFonts w:ascii="Times New Roman" w:cs="Times New Roman" w:eastAsia="Times New Roman" w:hAnsi="Times New Roman"/>
          <w:sz w:val="18"/>
          <w:szCs w:val="18"/>
          <w:color w:val="212121"/>
        </w:rPr>
        <w:t xml:space="preserve">; TD Securities (USA) LLC, 1 Vanderbilt Avenue, New York, New York 10017, by telephone at (855) 495-9846 or by email at </w:t>
      </w:r>
      <w:r>
        <w:rPr>
          <w:rFonts w:ascii="Times New Roman" w:cs="Times New Roman" w:eastAsia="Times New Roman" w:hAnsi="Times New Roman"/>
          <w:sz w:val="18"/>
          <w:szCs w:val="18"/>
          <w:color w:val="000000"/>
        </w:rPr>
        <w:t>TD.ECM_Prospectus@tdsecurities.com</w:t>
      </w:r>
      <w:r>
        <w:rPr>
          <w:rFonts w:ascii="Times New Roman" w:cs="Times New Roman" w:eastAsia="Times New Roman" w:hAnsi="Times New Roman"/>
          <w:sz w:val="18"/>
          <w:szCs w:val="18"/>
          <w:color w:val="212121"/>
        </w:rPr>
        <w:t xml:space="preserve">; or Roth Capital Partners, LLC, 888 San Clemente Drive, Suite 400, Newport Beach, CA 92660, or by email at </w:t>
      </w:r>
      <w:r>
        <w:rPr>
          <w:rFonts w:ascii="Times New Roman" w:cs="Times New Roman" w:eastAsia="Times New Roman" w:hAnsi="Times New Roman"/>
          <w:sz w:val="18"/>
          <w:szCs w:val="18"/>
          <w:color w:val="000000"/>
        </w:rPr>
        <w:t>rothecm@roth.com</w:t>
      </w:r>
      <w:r>
        <w:rPr>
          <w:rFonts w:ascii="Times New Roman" w:cs="Times New Roman" w:eastAsia="Times New Roman" w:hAnsi="Times New Roman"/>
          <w:sz w:val="18"/>
          <w:szCs w:val="18"/>
          <w:color w:val="212121"/>
        </w:rPr>
        <w: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Tilray Brands</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Tilray Brands, Inc. (“Tilray”) (Nasdaq: TLRY; TSX: TLRY), is a leading global lifestyle and consumer packaged goods company with operations in Canada, the United States, Europe, Australia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and create memorable experiences. Tilray’s unprecedented platform supports over 40 brands in over 20 countries, including comprehensive cannabis offerings, hemp-based foods and craft beverages.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how we are elevating lives through moments of connection, visit Tilray.com and follow @Tilray on all social platforms.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Certain statements in this communication that are not historical facts constitute forward-looking information or forward-looking statements (together, “forward-looking statements”) under Canadian and U.S. securities laws and within the meaning of Section 27A of the Securities Act of 1933, as amended, and Section 21E of the Securities Exchange Act of 1934, as amended, that are intended to be subject to the “safe harbor” created by those sections and other applicable laws. Forward-looking statements can be identified by words such as “forecast,” “future,” “should,” “could,” “enable,” “potential,” “contemplate,” “believe,” “anticipate,” “estimate,” “plan,” “expect,” “intend,” “may,” “project,” “will,” “would” and the negative of these terms or similar expressions, although not all forward-looking statements contain these identifying words. Certain material factors, estimates, goals, projections, or assumptions were used in drawing the conclusions contained in the forward-looking statements throughout this communication. Forward-looking statements include statements regarding our intentions, beliefs, projections, outlook, analyses, or current expectations. Many factors could cause actual results, performance, or achievement to be materially different from any forward-looking statements, and other risks and uncertainties not presently known to the Company or that the Company deems immaterial could also cause actual results or events to differ materially from those expressed in the forward-looking statements contained herein. For a more detailed discussion of these risks and other factors, see the most recently filed annual information form of Tilray and the Annual Report on Form 10-K (and other periodic reports filed with the SEC) of Tilray made with the SEC and available on EDGAR.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 </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news@tilray.com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investors@tilray.com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4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2"/>
    </w:lvl>
  </w:abstractNum>
  <w:abstractNum w:abstractNumId="4">
    <w:nsid w:val="6CEAF087"/>
    <w:multiLevelType w:val="hybridMultilevel"/>
    <w:lvl w:ilvl="0">
      <w:lvlJc w:val="left"/>
      <w:lvlText w:val="(%1)"/>
      <w:numFmt w:val="lowerLetter"/>
      <w:start w:val="3"/>
    </w:lvl>
  </w:abstractNum>
  <w:abstractNum w:abstractNumId="5">
    <w:nsid w:val="22221A70"/>
    <w:multiLevelType w:val="hybridMultilevel"/>
    <w:lvl w:ilvl="0">
      <w:lvlJc w:val="left"/>
      <w:lvlText w:val="(%1)"/>
      <w:numFmt w:val="lowerLetter"/>
      <w:start w:val="6"/>
    </w:lvl>
  </w:abstractNum>
  <w:abstractNum w:abstractNumId="6">
    <w:nsid w:val="4516DDE9"/>
    <w:multiLevelType w:val="hybridMultilevel"/>
    <w:lvl w:ilvl="0">
      <w:lvlJc w:val="left"/>
      <w:lvlText w:val="%1"/>
      <w:numFmt w:val="lowerLetter"/>
      <w:start w:val="1"/>
    </w:lvl>
    <w:lvl w:ilvl="1">
      <w:lvlJc w:val="left"/>
      <w:lvlText w:val="(%2)"/>
      <w:numFmt w:val="lowerLetter"/>
      <w:start w:val="11"/>
    </w:lvl>
  </w:abstractNum>
  <w:abstractNum w:abstractNumId="7">
    <w:nsid w:val="3006C83E"/>
    <w:multiLevelType w:val="hybridMultilevel"/>
    <w:lvl w:ilvl="0">
      <w:lvlJc w:val="left"/>
      <w:lvlText w:val="(%1)"/>
      <w:numFmt w:val="lowerLetter"/>
      <w:start w:val="9"/>
    </w:lvl>
    <w:lvl w:ilvl="1">
      <w:lvlJc w:val="left"/>
      <w:lvlText w:val="(%2)"/>
      <w:numFmt w:val="lowerLetter"/>
      <w:start w:val="13"/>
    </w:lvl>
  </w:abstractNum>
  <w:abstractNum w:abstractNumId="8">
    <w:nsid w:val="614FD4A1"/>
    <w:multiLevelType w:val="hybridMultilevel"/>
    <w:lvl w:ilvl="0">
      <w:lvlJc w:val="left"/>
      <w:lvlText w:val="(%1)"/>
      <w:numFmt w:val="lowerLetter"/>
      <w:start w:val="14"/>
    </w:lvl>
  </w:abstractNum>
  <w:abstractNum w:abstractNumId="9">
    <w:nsid w:val="419AC241"/>
    <w:multiLevelType w:val="hybridMultilevel"/>
    <w:lvl w:ilvl="0">
      <w:lvlJc w:val="left"/>
      <w:lvlText w:val="%1"/>
      <w:numFmt w:val="lowerLetter"/>
      <w:start w:val="1"/>
    </w:lvl>
    <w:lvl w:ilvl="1">
      <w:lvlJc w:val="left"/>
      <w:lvlText w:val="(%2)"/>
      <w:numFmt w:val="lowerLetter"/>
      <w:start w:val="17"/>
    </w:lvl>
  </w:abstractNum>
  <w:abstractNum w:abstractNumId="10">
    <w:nsid w:val="5577F8E1"/>
    <w:multiLevelType w:val="hybridMultilevel"/>
    <w:lvl w:ilvl="0">
      <w:lvlJc w:val="left"/>
      <w:lvlText w:val="(%1)"/>
      <w:numFmt w:val="lowerLetter"/>
      <w:start w:val="35"/>
    </w:lvl>
    <w:lvl w:ilvl="1">
      <w:lvlJc w:val="left"/>
      <w:lvlText w:val="%2"/>
      <w:numFmt w:val="lowerLetter"/>
      <w:start w:val="1"/>
    </w:lvl>
  </w:abstractNum>
  <w:abstractNum w:abstractNumId="11">
    <w:nsid w:val="440BADFC"/>
    <w:multiLevelType w:val="hybridMultilevel"/>
    <w:lvl w:ilvl="0">
      <w:lvlJc w:val="left"/>
      <w:lvlText w:val="(%1)"/>
      <w:numFmt w:val="lowerLetter"/>
      <w:start w:val="20"/>
    </w:lvl>
  </w:abstractNum>
  <w:abstractNum w:abstractNumId="12">
    <w:nsid w:val="5072367"/>
    <w:multiLevelType w:val="hybridMultilevel"/>
    <w:lvl w:ilvl="0">
      <w:lvlJc w:val="left"/>
      <w:lvlText w:val="(%1)"/>
      <w:numFmt w:val="lowerLetter"/>
      <w:start w:val="22"/>
    </w:lvl>
  </w:abstractNum>
  <w:abstractNum w:abstractNumId="13">
    <w:nsid w:val="3804823E"/>
    <w:multiLevelType w:val="hybridMultilevel"/>
    <w:lvl w:ilvl="0">
      <w:lvlJc w:val="left"/>
      <w:lvlText w:val="(%1)"/>
      <w:numFmt w:val="lowerLetter"/>
      <w:start w:val="25"/>
    </w:lvl>
  </w:abstractNum>
  <w:abstractNum w:abstractNumId="14">
    <w:nsid w:val="77465F01"/>
    <w:multiLevelType w:val="hybridMultilevel"/>
    <w:lvl w:ilvl="0">
      <w:lvlJc w:val="left"/>
      <w:lvlText w:val="(%1)"/>
      <w:numFmt w:val="lowerLetter"/>
      <w:start w:val="27"/>
    </w:lvl>
  </w:abstractNum>
  <w:abstractNum w:abstractNumId="15">
    <w:nsid w:val="7724C67E"/>
    <w:multiLevelType w:val="hybridMultilevel"/>
    <w:lvl w:ilvl="0">
      <w:lvlJc w:val="left"/>
      <w:lvlText w:val="(%1)"/>
      <w:numFmt w:val="lowerLetter"/>
      <w:start w:val="30"/>
    </w:lvl>
  </w:abstractNum>
  <w:abstractNum w:abstractNumId="16">
    <w:nsid w:val="5C482A97"/>
    <w:multiLevelType w:val="hybridMultilevel"/>
    <w:lvl w:ilvl="0">
      <w:lvlJc w:val="left"/>
      <w:lvlText w:val="(%1)"/>
      <w:numFmt w:val="lowerLetter"/>
      <w:start w:val="34"/>
    </w:lvl>
  </w:abstractNum>
  <w:abstractNum w:abstractNumId="17">
    <w:nsid w:val="2463B9EA"/>
    <w:multiLevelType w:val="hybridMultilevel"/>
    <w:lvl w:ilvl="0">
      <w:lvlJc w:val="left"/>
      <w:lvlText w:val="(%1)"/>
      <w:numFmt w:val="lowerLetter"/>
      <w:start w:val="37"/>
    </w:lvl>
  </w:abstractNum>
  <w:abstractNum w:abstractNumId="18">
    <w:nsid w:val="5E884ADC"/>
    <w:multiLevelType w:val="hybridMultilevel"/>
    <w:lvl w:ilvl="0">
      <w:lvlJc w:val="left"/>
      <w:lvlText w:val="(%1)"/>
      <w:numFmt w:val="lowerLetter"/>
      <w:start w:val="39"/>
    </w:lvl>
  </w:abstractNum>
  <w:abstractNum w:abstractNumId="19">
    <w:nsid w:val="51EAD36B"/>
    <w:multiLevelType w:val="hybridMultilevel"/>
    <w:lvl w:ilvl="0">
      <w:lvlJc w:val="left"/>
      <w:lvlText w:val="(%1)"/>
      <w:numFmt w:val="lowerLetter"/>
      <w:start w:val="42"/>
    </w:lvl>
  </w:abstractNum>
  <w:abstractNum w:abstractNumId="20">
    <w:nsid w:val="2D517796"/>
    <w:multiLevelType w:val="hybridMultilevel"/>
    <w:lvl w:ilvl="0">
      <w:lvlJc w:val="left"/>
      <w:lvlText w:val="(%1)"/>
      <w:numFmt w:val="lowerLetter"/>
      <w:start w:val="46"/>
    </w:lvl>
  </w:abstractNum>
  <w:abstractNum w:abstractNumId="21">
    <w:nsid w:val="580BD78F"/>
    <w:multiLevelType w:val="hybridMultilevel"/>
    <w:lvl w:ilvl="0">
      <w:lvlJc w:val="left"/>
      <w:lvlText w:val="(%1)"/>
      <w:numFmt w:val="lowerLetter"/>
      <w:start w:val="49"/>
    </w:lvl>
  </w:abstractNum>
  <w:abstractNum w:abstractNumId="22">
    <w:nsid w:val="153EA438"/>
    <w:multiLevelType w:val="hybridMultilevel"/>
    <w:lvl w:ilvl="0">
      <w:lvlJc w:val="left"/>
      <w:lvlText w:val="(%1)"/>
      <w:numFmt w:val="lowerLetter"/>
      <w:start w:val="53"/>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upperLetter"/>
      <w:start w:val="1"/>
    </w:lvl>
    <w:lvl w:ilvl="1">
      <w:lvlJc w:val="left"/>
      <w:lvlText w:val="(%2)"/>
      <w:numFmt w:val="lowerRoman"/>
      <w:start w:val="1"/>
    </w:lvl>
  </w:abstractNum>
  <w:abstractNum w:abstractNumId="26">
    <w:nsid w:val="2A487CB0"/>
    <w:multiLevelType w:val="hybridMultilevel"/>
    <w:lvl w:ilvl="0">
      <w:lvlJc w:val="left"/>
      <w:lvlText w:val="(%1)"/>
      <w:numFmt w:val="upperLetter"/>
      <w:start w:val="2"/>
    </w:lvl>
    <w:lvl w:ilvl="1">
      <w:lvlJc w:val="left"/>
      <w:lvlText w:val="%2"/>
      <w:numFmt w:val="lowerRoman"/>
      <w:start w:val="1"/>
    </w:lvl>
  </w:abstractNum>
  <w:abstractNum w:abstractNumId="27">
    <w:nsid w:val="1D4ED43B"/>
    <w:multiLevelType w:val="hybridMultilevel"/>
    <w:lvl w:ilvl="0">
      <w:lvlJc w:val="left"/>
      <w:lvlText w:val="(%1)"/>
      <w:numFmt w:val="lowerRoman"/>
      <w:start w:val="4"/>
    </w:lvl>
  </w:abstractNum>
  <w:abstractNum w:abstractNumId="28">
    <w:nsid w:val="725A06FB"/>
    <w:multiLevelType w:val="hybridMultilevel"/>
    <w:lvl w:ilvl="0">
      <w:lvlJc w:val="left"/>
      <w:lvlText w:val="(%1)"/>
      <w:numFmt w:val="lowerRoman"/>
      <w:start w:val="8"/>
    </w:lvl>
  </w:abstractNum>
  <w:abstractNum w:abstractNumId="29">
    <w:nsid w:val="2CD89A32"/>
    <w:multiLevelType w:val="hybridMultilevel"/>
    <w:lvl w:ilvl="0">
      <w:lvlJc w:val="left"/>
      <w:lvlText w:val="%1"/>
      <w:numFmt w:val="lowerRoman"/>
      <w:start w:val="1"/>
    </w:lvl>
    <w:lvl w:ilvl="1">
      <w:lvlJc w:val="left"/>
      <w:lvlText w:val="(%2)"/>
      <w:numFmt w:val="lowerLetter"/>
      <w:start w:val="3"/>
    </w:lvl>
  </w:abstractNum>
  <w:abstractNum w:abstractNumId="30">
    <w:nsid w:val="57E4CCAF"/>
    <w:multiLevelType w:val="hybridMultilevel"/>
    <w:lvl w:ilvl="0">
      <w:lvlJc w:val="left"/>
      <w:lvlText w:val="(%1)"/>
      <w:numFmt w:val="lowerRoman"/>
      <w:start w:val="9"/>
    </w:lvl>
    <w:lvl w:ilvl="1">
      <w:lvlJc w:val="left"/>
      <w:lvlText w:val="%2"/>
      <w:numFmt w:val="lowerLetter"/>
      <w:start w:val="1"/>
    </w:lvl>
  </w:abstractNum>
  <w:abstractNum w:abstractNumId="31">
    <w:nsid w:val="7A6D8D3C"/>
    <w:multiLevelType w:val="hybridMultilevel"/>
    <w:lvl w:ilvl="0">
      <w:lvlJc w:val="left"/>
      <w:lvlText w:val="%1"/>
      <w:numFmt w:val="decimal"/>
      <w:start w:val="1"/>
    </w:lvl>
    <w:lvl w:ilvl="1">
      <w:lvlJc w:val="left"/>
      <w:lvlText w:val="(%2)"/>
      <w:numFmt w:val="lowerLetter"/>
      <w:start w:val="1"/>
    </w:lvl>
  </w:abstractNum>
  <w:abstractNum w:abstractNumId="32">
    <w:nsid w:val="4B588F54"/>
    <w:multiLevelType w:val="hybridMultilevel"/>
    <w:lvl w:ilvl="0">
      <w:lvlJc w:val="left"/>
      <w:lvlText w:val="(%1)"/>
      <w:numFmt w:val="decimal"/>
      <w:start w:val="1"/>
    </w:lvl>
    <w:lvl w:ilvl="1">
      <w:lvlJc w:val="left"/>
      <w:lvlText w:val="(%2)"/>
      <w:numFmt w:val="lowerLetter"/>
      <w:start w:val="2"/>
    </w:lvl>
  </w:abstractNum>
  <w:abstractNum w:abstractNumId="33">
    <w:nsid w:val="542289EC"/>
    <w:multiLevelType w:val="hybridMultilevel"/>
    <w:lvl w:ilvl="0">
      <w:lvlJc w:val="left"/>
      <w:lvlText w:val="(%1)"/>
      <w:numFmt w:val="lowerLetter"/>
      <w:start w:val="3"/>
    </w:lvl>
  </w:abstractNum>
  <w:abstractNum w:abstractNumId="34">
    <w:nsid w:val="6DE91B18"/>
    <w:multiLevelType w:val="hybridMultilevel"/>
    <w:lvl w:ilvl="0">
      <w:lvlJc w:val="left"/>
      <w:lvlText w:val="(%1)"/>
      <w:numFmt w:val="lowerLetter"/>
      <w:start w:val="7"/>
    </w:lvl>
  </w:abstractNum>
  <w:abstractNum w:abstractNumId="35">
    <w:nsid w:val="38437FDB"/>
    <w:multiLevelType w:val="hybridMultilevel"/>
    <w:lvl w:ilvl="0">
      <w:lvlJc w:val="left"/>
      <w:lvlText w:val="(%1)"/>
      <w:numFmt w:val="lowerLetter"/>
      <w:start w:val="9"/>
    </w:lvl>
    <w:lvl w:ilvl="1">
      <w:lvlJc w:val="left"/>
      <w:lvlText w:val="(%2)"/>
      <w:numFmt w:val="upperLetter"/>
      <w:start w:val="1"/>
    </w:lvl>
  </w:abstractNum>
  <w:abstractNum w:abstractNumId="36">
    <w:nsid w:val="7644A45C"/>
    <w:multiLevelType w:val="hybridMultilevel"/>
    <w:lvl w:ilvl="0">
      <w:lvlJc w:val="left"/>
      <w:lvlText w:val="(%1)"/>
      <w:numFmt w:val="upperLetter"/>
      <w:start w:val="2"/>
    </w:lvl>
  </w:abstractNum>
  <w:abstractNum w:abstractNumId="37">
    <w:nsid w:val="32FFF902"/>
    <w:multiLevelType w:val="hybridMultilevel"/>
    <w:lvl w:ilvl="0">
      <w:lvlJc w:val="left"/>
      <w:lvlText w:val="(%1)"/>
      <w:numFmt w:val="lowerLetter"/>
      <w:start w:val="16"/>
    </w:lvl>
  </w:abstractNum>
  <w:abstractNum w:abstractNumId="38">
    <w:nsid w:val="684A481A"/>
    <w:multiLevelType w:val="hybridMultilevel"/>
    <w:lvl w:ilvl="0">
      <w:lvlJc w:val="left"/>
      <w:lvlText w:val="%1"/>
      <w:numFmt w:val="decimal"/>
      <w:start w:val="1"/>
    </w:lvl>
    <w:lvl w:ilvl="1">
      <w:lvlJc w:val="left"/>
      <w:lvlText w:val="(%2)"/>
      <w:numFmt w:val="lowerLetter"/>
      <w:start w:val="17"/>
    </w:lvl>
  </w:abstractNum>
  <w:abstractNum w:abstractNumId="39">
    <w:nsid w:val="579478FE"/>
    <w:multiLevelType w:val="hybridMultilevel"/>
    <w:lvl w:ilvl="0">
      <w:lvlJc w:val="left"/>
      <w:lvlText w:val="(%1)"/>
      <w:numFmt w:val="decimal"/>
      <w:start w:val="3"/>
    </w:lvl>
    <w:lvl w:ilvl="1">
      <w:lvlJc w:val="left"/>
      <w:lvlText w:val="%2"/>
      <w:numFmt w:val="lowerLetter"/>
      <w:start w:val="1"/>
    </w:lvl>
  </w:abstractNum>
  <w:abstractNum w:abstractNumId="40">
    <w:nsid w:val="749ABB43"/>
    <w:multiLevelType w:val="hybridMultilevel"/>
    <w:lvl w:ilvl="0">
      <w:lvlJc w:val="left"/>
      <w:lvlText w:val="(%1)"/>
      <w:numFmt w:val="lowerLetter"/>
      <w:start w:val="20"/>
    </w:lvl>
  </w:abstractNum>
  <w:abstractNum w:abstractNumId="41">
    <w:nsid w:val="3DC240FB"/>
    <w:multiLevelType w:val="hybridMultilevel"/>
    <w:lvl w:ilvl="0">
      <w:lvlJc w:val="left"/>
      <w:lvlText w:val="(%1)"/>
      <w:numFmt w:val="lowerRoman"/>
      <w:start w:val="10"/>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Roman"/>
      <w:start w:val="1"/>
    </w:lvl>
  </w:abstractNum>
  <w:abstractNum w:abstractNumId="44">
    <w:nsid w:val="75C6C33A"/>
    <w:multiLevelType w:val="hybridMultilevel"/>
    <w:lvl w:ilvl="0">
      <w:lvlJc w:val="left"/>
      <w:lvlText w:val="(%1)"/>
      <w:numFmt w:val="lowerRoman"/>
      <w:start w:val="4"/>
    </w:lvl>
  </w:abstractNum>
  <w:abstractNum w:abstractNumId="45">
    <w:nsid w:val="12E685FB"/>
    <w:multiLevelType w:val="hybridMultilevel"/>
    <w:lvl w:ilvl="0">
      <w:lvlJc w:val="left"/>
      <w:lvlText w:val="(%1)"/>
      <w:numFmt w:val="lowerLetter"/>
      <w:start w:val="2"/>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1)"/>
      <w:numFmt w:val="lowerLetter"/>
      <w:start w:val="4"/>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Roman"/>
      <w:start w:val="1"/>
    </w:lvl>
    <w:lvl w:ilvl="1">
      <w:lvlJc w:val="left"/>
      <w:lvlText w:val="(%2)"/>
      <w:numFmt w:val="lowerRoman"/>
      <w:start w:val="5"/>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2"/>
    </w:lvl>
  </w:abstractNum>
  <w:abstractNum w:abstractNumId="53">
    <w:nsid w:val="39386575"/>
    <w:multiLevelType w:val="hybridMultilevel"/>
    <w:lvl w:ilvl="0">
      <w:lvlJc w:val="left"/>
      <w:lvlText w:val="(%1)"/>
      <w:numFmt w:val="lowerLetter"/>
      <w:start w:val="5"/>
    </w:lvl>
  </w:abstractNum>
  <w:abstractNum w:abstractNumId="54">
    <w:nsid w:val="1CF10FD8"/>
    <w:multiLevelType w:val="hybridMultilevel"/>
    <w:lvl w:ilvl="0">
      <w:lvlJc w:val="left"/>
      <w:lvlText w:val="(%1)"/>
      <w:numFmt w:val="lowerLetter"/>
      <w:start w:val="8"/>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Roman"/>
      <w:start w:val="1"/>
    </w:lvl>
  </w:abstractNum>
  <w:abstractNum w:abstractNumId="57">
    <w:nsid w:val="47398C89"/>
    <w:multiLevelType w:val="hybridMultilevel"/>
    <w:lvl w:ilvl="0">
      <w:lvlJc w:val="left"/>
      <w:lvlText w:val="(%1)"/>
      <w:numFmt w:val="lowerRoman"/>
      <w:start w:val="2"/>
    </w:lvl>
  </w:abstractNum>
  <w:abstractNum w:abstractNumId="58">
    <w:nsid w:val="354FE9F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2026-04-15T07:55:54Z</dcterms:created>
  <dcterms:modified xsi:type="dcterms:W3CDTF">2026-04-15T07:55:54Z</dcterms:modified>
</cp:coreProperties>
</file>