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211455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4140" w:right="1840" w:hanging="4132"/>
        <w:spacing w:after="0" w:line="391" w:lineRule="auto"/>
        <w:tabs>
          <w:tab w:leader="none" w:pos="6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May 31, 2023</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660"/>
        <w:spacing w:after="0"/>
        <w:tabs>
          <w:tab w:leader="none" w:pos="41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TILRAY BRANDS,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82-4310622</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320" w:type="dxa"/>
            <w:vAlign w:val="bottom"/>
          </w:tcPr>
          <w:p>
            <w:pPr>
              <w:jc w:val="center"/>
              <w:ind w:right="183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265 Talbot Street West,</w:t>
            </w:r>
          </w:p>
        </w:tc>
        <w:tc>
          <w:tcPr>
            <w:tcW w:w="3060" w:type="dxa"/>
            <w:vAlign w:val="bottom"/>
          </w:tcPr>
          <w:p>
            <w:pPr>
              <w:spacing w:after="0"/>
              <w:rPr>
                <w:sz w:val="18"/>
                <w:szCs w:val="18"/>
                <w:color w:val="auto"/>
              </w:rPr>
            </w:pPr>
          </w:p>
        </w:tc>
      </w:t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Leamington, ON</w:t>
            </w:r>
          </w:p>
        </w:tc>
        <w:tc>
          <w:tcPr>
            <w:tcW w:w="3060" w:type="dxa"/>
            <w:vAlign w:val="bottom"/>
          </w:tcPr>
          <w:p>
            <w:pPr>
              <w:jc w:val="center"/>
              <w:ind w:left="1841"/>
              <w:spacing w:after="0"/>
              <w:rPr>
                <w:sz w:val="20"/>
                <w:szCs w:val="20"/>
                <w:color w:val="auto"/>
              </w:rPr>
            </w:pPr>
            <w:r>
              <w:rPr>
                <w:rFonts w:ascii="Arial" w:cs="Arial" w:eastAsia="Arial" w:hAnsi="Arial"/>
                <w:sz w:val="18"/>
                <w:szCs w:val="18"/>
                <w:b w:val="1"/>
                <w:bCs w:val="1"/>
                <w:color w:val="auto"/>
                <w:w w:val="97"/>
              </w:rPr>
              <w:t>N8H 5L4</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(844) 845-7291</w:t>
      </w: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76"/>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TLRY</w:t>
            </w:r>
          </w:p>
        </w:tc>
        <w:tc>
          <w:tcPr>
            <w:tcW w:w="100" w:type="dxa"/>
            <w:vAlign w:val="bottom"/>
          </w:tcPr>
          <w:p>
            <w:pPr>
              <w:spacing w:after="0"/>
              <w:rPr>
                <w:sz w:val="15"/>
                <w:szCs w:val="15"/>
                <w:color w:val="auto"/>
              </w:rPr>
            </w:pPr>
          </w:p>
        </w:tc>
        <w:tc>
          <w:tcPr>
            <w:tcW w:w="4500" w:type="dxa"/>
            <w:vAlign w:val="bottom"/>
            <w:vMerge w:val="restart"/>
          </w:tcPr>
          <w:p>
            <w:pPr>
              <w:jc w:val="center"/>
              <w:spacing w:after="0"/>
              <w:rPr>
                <w:sz w:val="20"/>
                <w:szCs w:val="20"/>
                <w:color w:val="auto"/>
              </w:rPr>
            </w:pPr>
            <w:r>
              <w:rPr>
                <w:rFonts w:ascii="Arial" w:cs="Arial" w:eastAsia="Arial" w:hAnsi="Arial"/>
                <w:sz w:val="14"/>
                <w:szCs w:val="14"/>
                <w:color w:val="auto"/>
                <w:w w:val="92"/>
              </w:rPr>
              <w:t>The Nasdaq Global Select Market</w:t>
            </w:r>
          </w:p>
        </w:tc>
        <w:tc>
          <w:tcPr>
            <w:tcW w:w="0" w:type="dxa"/>
            <w:vAlign w:val="bottom"/>
          </w:tcPr>
          <w:p>
            <w:pPr>
              <w:spacing w:after="0"/>
              <w:rPr>
                <w:sz w:val="1"/>
                <w:szCs w:val="1"/>
                <w:color w:val="auto"/>
              </w:rPr>
            </w:pPr>
          </w:p>
        </w:tc>
      </w:tr>
      <w:tr>
        <w:trPr>
          <w:trHeight w:val="49"/>
        </w:trPr>
        <w:tc>
          <w:tcPr>
            <w:tcW w:w="4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0"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9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0"/>
          <w:szCs w:val="20"/>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92" w:lineRule="exact"/>
        <w:rPr>
          <w:sz w:val="20"/>
          <w:szCs w:val="20"/>
          <w:color w:val="auto"/>
        </w:rPr>
      </w:pPr>
    </w:p>
    <w:p>
      <w:pPr>
        <w:ind w:right="320"/>
        <w:spacing w:after="0" w:line="21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93" w:lineRule="exact"/>
        <w:rPr>
          <w:sz w:val="20"/>
          <w:szCs w:val="20"/>
          <w:color w:val="auto"/>
        </w:rPr>
      </w:pPr>
    </w:p>
    <w:p>
      <w:pPr>
        <w:ind w:right="320"/>
        <w:spacing w:after="0" w:line="21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5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shares of the Registrant’s Common Stock on The Nasdaq Global Select Stock Market on November 30, 2022, was approximately $2.4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As of July 24, 2023 there were 703,257,224 shares of the Registrant’s Common Stock, par value $0.0001 per share, issued and outstanding.</w:t>
      </w:r>
    </w:p>
    <w:p>
      <w:pPr>
        <w:spacing w:after="0" w:line="140"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140" w:lineRule="exact"/>
        <w:rPr>
          <w:sz w:val="20"/>
          <w:szCs w:val="20"/>
          <w:color w:val="auto"/>
        </w:rPr>
      </w:pPr>
    </w:p>
    <w:p>
      <w:pPr>
        <w:jc w:val="both"/>
        <w:spacing w:after="0" w:line="204" w:lineRule="exact"/>
        <w:rPr>
          <w:sz w:val="20"/>
          <w:szCs w:val="20"/>
          <w:color w:val="auto"/>
        </w:rPr>
      </w:pPr>
      <w:r>
        <w:rPr>
          <w:rFonts w:ascii="Arial" w:cs="Arial" w:eastAsia="Arial" w:hAnsi="Arial"/>
          <w:sz w:val="16"/>
          <w:szCs w:val="16"/>
          <w:color w:val="auto"/>
        </w:rPr>
        <w:t>Part III incorporates certain information by reference from the definitive proxy statement to be filed by the registrant in connection with the 2023 Annual Meeting of Stockholders (the “Proxy Statement”) with the Securities and Exchange Commission pursuant to Regulation 14A not later than 120 days after the end of the year ended May 31, 2023, provided that if such Proxy Statement is not filed within such period, such information will be included in an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K to be filed within such 120-day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4"/>
              </w:rPr>
              <w:t>Business</w:t>
            </w:r>
          </w:p>
        </w:tc>
        <w:tc>
          <w:tcPr>
            <w:tcW w:w="8680" w:type="dxa"/>
            <w:vAlign w:val="bottom"/>
            <w:gridSpan w:val="17"/>
          </w:tcPr>
          <w:p>
            <w:pPr>
              <w:spacing w:after="0"/>
              <w:rPr>
                <w:sz w:val="16"/>
                <w:szCs w:val="16"/>
                <w:color w:val="auto"/>
              </w:rPr>
            </w:pPr>
          </w:p>
        </w:tc>
        <w:tc>
          <w:tcPr>
            <w:tcW w:w="680" w:type="dxa"/>
            <w:vAlign w:val="bottom"/>
            <w:gridSpan w:val="3"/>
          </w:tcPr>
          <w:p>
            <w:pPr>
              <w:spacing w:after="0"/>
              <w:rPr>
                <w:sz w:val="16"/>
                <w:szCs w:val="16"/>
                <w:color w:val="auto"/>
              </w:rPr>
            </w:pPr>
          </w:p>
        </w:tc>
        <w:tc>
          <w:tcPr>
            <w:tcW w:w="100" w:type="dxa"/>
            <w:vAlign w:val="bottom"/>
            <w:tcBorders>
              <w:bottom w:val="single" w:sz="8" w:color="0000EE"/>
            </w:tcBorders>
          </w:tcPr>
          <w:p>
            <w:pPr>
              <w:jc w:val="right"/>
              <w:spacing w:after="0" w:line="190" w:lineRule="exact"/>
              <w:rPr>
                <w:sz w:val="20"/>
                <w:szCs w:val="20"/>
                <w:color w:val="auto"/>
              </w:rPr>
            </w:pPr>
            <w:r>
              <w:rPr>
                <w:rFonts w:ascii="Arial" w:cs="Arial" w:eastAsia="Arial" w:hAnsi="Arial"/>
                <w:sz w:val="18"/>
                <w:szCs w:val="18"/>
                <w:color w:val="0000EE"/>
                <w:w w:val="79"/>
              </w:rPr>
              <w:t>4</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Risk Factors</w:t>
            </w:r>
          </w:p>
        </w:tc>
        <w:tc>
          <w:tcPr>
            <w:tcW w:w="8420" w:type="dxa"/>
            <w:vAlign w:val="bottom"/>
            <w:gridSpan w:val="15"/>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Unresolved Staff Comments</w:t>
            </w:r>
          </w:p>
        </w:tc>
        <w:tc>
          <w:tcPr>
            <w:tcW w:w="7280" w:type="dxa"/>
            <w:vAlign w:val="bottom"/>
            <w:gridSpan w:val="11"/>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2.</w:t>
            </w:r>
          </w:p>
        </w:tc>
        <w:tc>
          <w:tcPr>
            <w:tcW w:w="9320" w:type="dxa"/>
            <w:vAlign w:val="bottom"/>
            <w:gridSpan w:val="18"/>
          </w:tcPr>
          <w:p>
            <w:pPr>
              <w:spacing w:after="0" w:line="196" w:lineRule="exact"/>
              <w:rPr>
                <w:sz w:val="20"/>
                <w:szCs w:val="20"/>
                <w:color w:val="auto"/>
              </w:rPr>
            </w:pPr>
            <w:r>
              <w:rPr>
                <w:rFonts w:ascii="Arial" w:cs="Arial" w:eastAsia="Arial" w:hAnsi="Arial"/>
                <w:sz w:val="18"/>
                <w:szCs w:val="18"/>
                <w:color w:val="0000EE"/>
              </w:rPr>
              <w:t>Properties</w:t>
            </w: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3.</w:t>
            </w:r>
          </w:p>
        </w:tc>
        <w:tc>
          <w:tcPr>
            <w:tcW w:w="9320" w:type="dxa"/>
            <w:vAlign w:val="bottom"/>
            <w:gridSpan w:val="18"/>
          </w:tcPr>
          <w:p>
            <w:pPr>
              <w:spacing w:after="0" w:line="196" w:lineRule="exact"/>
              <w:rPr>
                <w:sz w:val="20"/>
                <w:szCs w:val="20"/>
                <w:color w:val="auto"/>
              </w:rPr>
            </w:pPr>
            <w:r>
              <w:rPr>
                <w:rFonts w:ascii="Arial" w:cs="Arial" w:eastAsia="Arial" w:hAnsi="Arial"/>
                <w:sz w:val="18"/>
                <w:szCs w:val="18"/>
                <w:color w:val="0000EE"/>
              </w:rPr>
              <w:t>Legal Proceedings</w:t>
            </w: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41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4.</w:t>
            </w:r>
          </w:p>
        </w:tc>
        <w:tc>
          <w:tcPr>
            <w:tcW w:w="9320" w:type="dxa"/>
            <w:vAlign w:val="bottom"/>
            <w:gridSpan w:val="18"/>
          </w:tcPr>
          <w:p>
            <w:pPr>
              <w:spacing w:after="0" w:line="196" w:lineRule="exact"/>
              <w:rPr>
                <w:sz w:val="20"/>
                <w:szCs w:val="20"/>
                <w:color w:val="auto"/>
              </w:rPr>
            </w:pPr>
            <w:r>
              <w:rPr>
                <w:rFonts w:ascii="Arial" w:cs="Arial" w:eastAsia="Arial" w:hAnsi="Arial"/>
                <w:sz w:val="18"/>
                <w:szCs w:val="18"/>
                <w:color w:val="0000EE"/>
              </w:rPr>
              <w:t>Mine Safety Disclosures</w:t>
            </w: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41</w:t>
            </w: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20" w:type="dxa"/>
            <w:vAlign w:val="bottom"/>
            <w:gridSpan w:val="18"/>
          </w:tcPr>
          <w:p>
            <w:pPr>
              <w:spacing w:after="0" w:line="190"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78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42</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[Reserved]</w:t>
            </w:r>
          </w:p>
        </w:tc>
        <w:tc>
          <w:tcPr>
            <w:tcW w:w="12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880" w:type="dxa"/>
            <w:vAlign w:val="bottom"/>
            <w:gridSpan w:val="4"/>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44</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4980" w:type="dxa"/>
            <w:vAlign w:val="bottom"/>
            <w:gridSpan w:val="6"/>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Financial Statements and Supplementary Data</w:t>
            </w:r>
          </w:p>
        </w:tc>
        <w:tc>
          <w:tcPr>
            <w:tcW w:w="6000" w:type="dxa"/>
            <w:vAlign w:val="bottom"/>
            <w:gridSpan w:val="8"/>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w:t>
            </w:r>
          </w:p>
        </w:tc>
        <w:tc>
          <w:tcPr>
            <w:tcW w:w="6480" w:type="dxa"/>
            <w:vAlign w:val="bottom"/>
            <w:gridSpan w:val="15"/>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840" w:type="dxa"/>
            <w:vAlign w:val="bottom"/>
            <w:gridSpan w:val="3"/>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line="196" w:lineRule="exact"/>
              <w:rPr>
                <w:sz w:val="20"/>
                <w:szCs w:val="20"/>
                <w:color w:val="auto"/>
              </w:rPr>
            </w:pPr>
            <w:r>
              <w:rPr>
                <w:rFonts w:ascii="Arial" w:cs="Arial" w:eastAsia="Arial" w:hAnsi="Arial"/>
                <w:sz w:val="18"/>
                <w:szCs w:val="18"/>
                <w:color w:val="0000EE"/>
                <w:w w:val="86"/>
              </w:rPr>
              <w:t>Controls and Procedures</w:t>
            </w:r>
          </w:p>
        </w:tc>
        <w:tc>
          <w:tcPr>
            <w:tcW w:w="4720" w:type="dxa"/>
            <w:vAlign w:val="bottom"/>
            <w:gridSpan w:val="9"/>
          </w:tcPr>
          <w:p>
            <w:pPr>
              <w:spacing w:after="0"/>
              <w:rPr>
                <w:sz w:val="17"/>
                <w:szCs w:val="17"/>
                <w:color w:val="auto"/>
              </w:rPr>
            </w:pPr>
          </w:p>
        </w:tc>
        <w:tc>
          <w:tcPr>
            <w:tcW w:w="2840" w:type="dxa"/>
            <w:vAlign w:val="bottom"/>
            <w:gridSpan w:val="3"/>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line="196" w:lineRule="exact"/>
              <w:rPr>
                <w:sz w:val="20"/>
                <w:szCs w:val="20"/>
                <w:color w:val="auto"/>
              </w:rPr>
            </w:pPr>
            <w:r>
              <w:rPr>
                <w:rFonts w:ascii="Arial" w:cs="Arial" w:eastAsia="Arial" w:hAnsi="Arial"/>
                <w:sz w:val="18"/>
                <w:szCs w:val="18"/>
                <w:color w:val="0000EE"/>
              </w:rPr>
              <w:t>Other Information</w:t>
            </w:r>
          </w:p>
        </w:tc>
        <w:tc>
          <w:tcPr>
            <w:tcW w:w="7560" w:type="dxa"/>
            <w:vAlign w:val="bottom"/>
            <w:gridSpan w:val="12"/>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9C.</w:t>
            </w:r>
          </w:p>
        </w:tc>
        <w:tc>
          <w:tcPr>
            <w:tcW w:w="9320" w:type="dxa"/>
            <w:vAlign w:val="bottom"/>
            <w:gridSpan w:val="18"/>
          </w:tcPr>
          <w:p>
            <w:pPr>
              <w:spacing w:after="0" w:line="196" w:lineRule="exact"/>
              <w:rPr>
                <w:sz w:val="20"/>
                <w:szCs w:val="20"/>
                <w:color w:val="auto"/>
              </w:rPr>
            </w:pPr>
            <w:r>
              <w:rPr>
                <w:rFonts w:ascii="Arial" w:cs="Arial" w:eastAsia="Arial" w:hAnsi="Arial"/>
                <w:sz w:val="18"/>
                <w:szCs w:val="18"/>
                <w:color w:val="0000EE"/>
              </w:rPr>
              <w:t>Other Information</w:t>
            </w: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122</w:t>
            </w: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20" w:type="dxa"/>
            <w:vAlign w:val="bottom"/>
            <w:gridSpan w:val="18"/>
          </w:tcPr>
          <w:p>
            <w:pPr>
              <w:spacing w:after="0" w:line="190" w:lineRule="exact"/>
              <w:rPr>
                <w:sz w:val="20"/>
                <w:szCs w:val="20"/>
                <w:color w:val="auto"/>
              </w:rPr>
            </w:pPr>
            <w:r>
              <w:rPr>
                <w:rFonts w:ascii="Arial" w:cs="Arial" w:eastAsia="Arial" w:hAnsi="Arial"/>
                <w:sz w:val="18"/>
                <w:szCs w:val="18"/>
                <w:color w:val="0000EE"/>
              </w:rPr>
              <w:t>Directors, Executive Officers and Corporate Governance</w:t>
            </w:r>
          </w:p>
        </w:tc>
        <w:tc>
          <w:tcPr>
            <w:tcW w:w="78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11.</w:t>
            </w:r>
          </w:p>
        </w:tc>
        <w:tc>
          <w:tcPr>
            <w:tcW w:w="1760" w:type="dxa"/>
            <w:vAlign w:val="bottom"/>
            <w:gridSpan w:val="6"/>
          </w:tcPr>
          <w:p>
            <w:pPr>
              <w:spacing w:after="0" w:line="196" w:lineRule="exact"/>
              <w:rPr>
                <w:sz w:val="20"/>
                <w:szCs w:val="20"/>
                <w:color w:val="auto"/>
              </w:rPr>
            </w:pPr>
            <w:r>
              <w:rPr>
                <w:rFonts w:ascii="Arial" w:cs="Arial" w:eastAsia="Arial" w:hAnsi="Arial"/>
                <w:sz w:val="18"/>
                <w:szCs w:val="18"/>
                <w:color w:val="0000EE"/>
                <w:w w:val="86"/>
              </w:rPr>
              <w:t>Executive Compensation</w:t>
            </w:r>
          </w:p>
        </w:tc>
        <w:tc>
          <w:tcPr>
            <w:tcW w:w="2320" w:type="dxa"/>
            <w:vAlign w:val="bottom"/>
            <w:gridSpan w:val="5"/>
          </w:tcPr>
          <w:p>
            <w:pPr>
              <w:spacing w:after="0"/>
              <w:rPr>
                <w:sz w:val="17"/>
                <w:szCs w:val="17"/>
                <w:color w:val="auto"/>
              </w:rPr>
            </w:pPr>
          </w:p>
        </w:tc>
        <w:tc>
          <w:tcPr>
            <w:tcW w:w="5240" w:type="dxa"/>
            <w:vAlign w:val="bottom"/>
            <w:gridSpan w:val="7"/>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12.</w:t>
            </w:r>
          </w:p>
        </w:tc>
        <w:tc>
          <w:tcPr>
            <w:tcW w:w="9320" w:type="dxa"/>
            <w:vAlign w:val="bottom"/>
            <w:gridSpan w:val="18"/>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13.</w:t>
            </w:r>
          </w:p>
        </w:tc>
        <w:tc>
          <w:tcPr>
            <w:tcW w:w="5440" w:type="dxa"/>
            <w:vAlign w:val="bottom"/>
            <w:gridSpan w:val="13"/>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840" w:type="dxa"/>
            <w:vAlign w:val="bottom"/>
            <w:gridSpan w:val="3"/>
          </w:tcPr>
          <w:p>
            <w:pPr>
              <w:spacing w:after="0"/>
              <w:rPr>
                <w:sz w:val="17"/>
                <w:szCs w:val="17"/>
                <w:color w:val="auto"/>
              </w:rPr>
            </w:pPr>
          </w:p>
        </w:tc>
        <w:tc>
          <w:tcPr>
            <w:tcW w:w="2040" w:type="dxa"/>
            <w:vAlign w:val="bottom"/>
            <w:gridSpan w:val="2"/>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gridSpan w:val="13"/>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3880" w:type="dxa"/>
            <w:vAlign w:val="bottom"/>
            <w:gridSpan w:val="5"/>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320" w:type="dxa"/>
            <w:vAlign w:val="bottom"/>
            <w:gridSpan w:val="18"/>
          </w:tcPr>
          <w:p>
            <w:pPr>
              <w:spacing w:after="0" w:line="190" w:lineRule="exact"/>
              <w:rPr>
                <w:sz w:val="20"/>
                <w:szCs w:val="20"/>
                <w:color w:val="auto"/>
              </w:rPr>
            </w:pPr>
            <w:r>
              <w:rPr>
                <w:rFonts w:ascii="Arial" w:cs="Arial" w:eastAsia="Arial" w:hAnsi="Arial"/>
                <w:sz w:val="18"/>
                <w:szCs w:val="18"/>
                <w:color w:val="0000EE"/>
              </w:rPr>
              <w:t>Exhibits, Financial Statement Schedules</w:t>
            </w:r>
          </w:p>
        </w:tc>
        <w:tc>
          <w:tcPr>
            <w:tcW w:w="78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16.</w:t>
            </w: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rPr>
              <w:t>Form 10-K Summary</w:t>
            </w:r>
          </w:p>
        </w:tc>
        <w:tc>
          <w:tcPr>
            <w:tcW w:w="6440" w:type="dxa"/>
            <w:vAlign w:val="bottom"/>
            <w:gridSpan w:val="9"/>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this Annual Report on Form 10-K, “we,” “our,” “us,” “Tilray,” and the “Company” refer to Tilray Brands,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This Annual Report on Form 10-K for the fiscal year ended May 31, 2023 (the </w:t>
      </w:r>
      <w:r>
        <w:rPr>
          <w:rFonts w:ascii="Arial" w:cs="Arial" w:eastAsia="Arial" w:hAnsi="Arial"/>
          <w:sz w:val="16"/>
          <w:szCs w:val="16"/>
          <w:color w:val="auto"/>
        </w:rPr>
        <w:t>“</w:t>
      </w:r>
      <w:r>
        <w:rPr>
          <w:rFonts w:ascii="Arial" w:cs="Arial" w:eastAsia="Arial" w:hAnsi="Arial"/>
          <w:sz w:val="16"/>
          <w:szCs w:val="16"/>
          <w:i w:val="1"/>
          <w:iCs w:val="1"/>
          <w:color w:val="auto"/>
        </w:rPr>
        <w:t>Form 10-K</w:t>
      </w:r>
      <w:r>
        <w:rPr>
          <w:rFonts w:ascii="Arial" w:cs="Arial" w:eastAsia="Arial" w:hAnsi="Arial"/>
          <w:sz w:val="16"/>
          <w:szCs w:val="16"/>
          <w:color w:val="auto"/>
        </w:rPr>
        <w:t>”</w:t>
      </w:r>
      <w:r>
        <w:rPr>
          <w:rFonts w:ascii="Arial" w:cs="Arial" w:eastAsia="Arial" w:hAnsi="Arial"/>
          <w:sz w:val="16"/>
          <w:szCs w:val="16"/>
          <w:i w:val="1"/>
          <w:iCs w:val="1"/>
          <w:color w:val="auto"/>
        </w:rPr>
        <w:t xml:space="preserve">)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w:t>
      </w:r>
      <w:r>
        <w:rPr>
          <w:rFonts w:ascii="Arial" w:cs="Arial" w:eastAsia="Arial" w:hAnsi="Arial"/>
          <w:sz w:val="16"/>
          <w:szCs w:val="16"/>
          <w:color w:val="auto"/>
        </w:rPr>
        <w:t>“</w:t>
      </w:r>
      <w:r>
        <w:rPr>
          <w:rFonts w:ascii="Arial" w:cs="Arial" w:eastAsia="Arial" w:hAnsi="Arial"/>
          <w:sz w:val="16"/>
          <w:szCs w:val="16"/>
          <w:i w:val="1"/>
          <w:iCs w:val="1"/>
          <w:color w:val="auto"/>
        </w:rPr>
        <w:t>safe harbor</w:t>
      </w:r>
      <w:r>
        <w:rPr>
          <w:rFonts w:ascii="Arial" w:cs="Arial" w:eastAsia="Arial" w:hAnsi="Arial"/>
          <w:sz w:val="16"/>
          <w:szCs w:val="16"/>
          <w:color w:val="auto"/>
        </w:rPr>
        <w:t>”</w:t>
      </w:r>
      <w:r>
        <w:rPr>
          <w:rFonts w:ascii="Arial" w:cs="Arial" w:eastAsia="Arial" w:hAnsi="Arial"/>
          <w:sz w:val="16"/>
          <w:szCs w:val="16"/>
          <w:i w:val="1"/>
          <w:iCs w:val="1"/>
          <w:color w:val="auto"/>
        </w:rPr>
        <w:t xml:space="preserve"> created by those sections and other applicable laws. The words </w:t>
      </w:r>
      <w:r>
        <w:rPr>
          <w:rFonts w:ascii="Arial" w:cs="Arial" w:eastAsia="Arial" w:hAnsi="Arial"/>
          <w:sz w:val="16"/>
          <w:szCs w:val="16"/>
          <w:color w:val="auto"/>
        </w:rPr>
        <w:t>“</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might,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xml:space="preserve">” </w:t>
      </w:r>
      <w:r>
        <w:rPr>
          <w:rFonts w:ascii="Arial" w:cs="Arial" w:eastAsia="Arial" w:hAnsi="Arial"/>
          <w:sz w:val="16"/>
          <w:szCs w:val="16"/>
          <w:i w:val="1"/>
          <w:iCs w:val="1"/>
          <w:color w:val="auto"/>
        </w:rPr>
        <w:t>or</w:t>
      </w:r>
      <w:r>
        <w:rPr>
          <w:rFonts w:ascii="Arial" w:cs="Arial" w:eastAsia="Arial" w:hAnsi="Arial"/>
          <w:sz w:val="16"/>
          <w:szCs w:val="16"/>
          <w:color w:val="auto"/>
        </w:rPr>
        <w:t xml:space="preserve"> “</w:t>
      </w:r>
      <w:r>
        <w:rPr>
          <w:rFonts w:ascii="Arial" w:cs="Arial" w:eastAsia="Arial" w:hAnsi="Arial"/>
          <w:sz w:val="16"/>
          <w:szCs w:val="16"/>
          <w:i w:val="1"/>
          <w:iCs w:val="1"/>
          <w:color w:val="auto"/>
        </w:rPr>
        <w:t>should</w:t>
      </w:r>
      <w:r>
        <w:rPr>
          <w:rFonts w:ascii="Arial" w:cs="Arial" w:eastAsia="Arial" w:hAnsi="Arial"/>
          <w:sz w:val="16"/>
          <w:szCs w:val="16"/>
          <w:color w:val="auto"/>
        </w:rPr>
        <w:t xml:space="preserve">,” </w:t>
      </w:r>
      <w:r>
        <w:rPr>
          <w:rFonts w:ascii="Arial" w:cs="Arial" w:eastAsia="Arial" w:hAnsi="Arial"/>
          <w:sz w:val="16"/>
          <w:szCs w:val="16"/>
          <w:i w:val="1"/>
          <w:iCs w:val="1"/>
          <w:color w:val="auto"/>
        </w:rPr>
        <w:t>or the negative or plural of these words or similar expressions or variations are intended to identify</w:t>
      </w:r>
      <w:r>
        <w:rPr>
          <w:rFonts w:ascii="Arial" w:cs="Arial" w:eastAsia="Arial" w:hAnsi="Arial"/>
          <w:sz w:val="16"/>
          <w:szCs w:val="16"/>
          <w:color w:val="auto"/>
        </w:rPr>
        <w:t xml:space="preserve"> </w:t>
      </w:r>
      <w:r>
        <w:rPr>
          <w:rFonts w:ascii="Arial" w:cs="Arial" w:eastAsia="Arial" w:hAnsi="Arial"/>
          <w:sz w:val="16"/>
          <w:szCs w:val="16"/>
          <w:i w:val="1"/>
          <w:iCs w:val="1"/>
          <w:color w:val="auto"/>
        </w:rPr>
        <w:t>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current or future macroeconomic trends; future corporate acquisitions and strategic transactions; and our synergies, cash savings and efficiencies anticipated from the integration of our completed acquisitions and strategic transactions.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Risks and uncertainties that may cause actual results to differ materially from forward-looking statements include, but are not limited to, those identified in this Form 10-K and those discussed in the sections titled </w:t>
      </w:r>
      <w:r>
        <w:rPr>
          <w:rFonts w:ascii="Arial" w:cs="Arial" w:eastAsia="Arial" w:hAnsi="Arial"/>
          <w:sz w:val="18"/>
          <w:szCs w:val="18"/>
          <w:color w:val="auto"/>
        </w:rPr>
        <w:t>“</w:t>
      </w:r>
      <w:r>
        <w:rPr>
          <w:rFonts w:ascii="Arial" w:cs="Arial" w:eastAsia="Arial" w:hAnsi="Arial"/>
          <w:sz w:val="18"/>
          <w:szCs w:val="18"/>
          <w:i w:val="1"/>
          <w:iCs w:val="1"/>
          <w:color w:val="auto"/>
        </w:rPr>
        <w:t>Risk Factor Summary</w:t>
      </w:r>
      <w:r>
        <w:rPr>
          <w:rFonts w:ascii="Arial" w:cs="Arial" w:eastAsia="Arial" w:hAnsi="Arial"/>
          <w:sz w:val="18"/>
          <w:szCs w:val="18"/>
          <w:color w:val="auto"/>
        </w:rPr>
        <w:t>”</w:t>
      </w:r>
      <w:r>
        <w:rPr>
          <w:rFonts w:ascii="Arial" w:cs="Arial" w:eastAsia="Arial" w:hAnsi="Arial"/>
          <w:sz w:val="18"/>
          <w:szCs w:val="18"/>
          <w:i w:val="1"/>
          <w:iCs w:val="1"/>
          <w:color w:val="auto"/>
        </w:rPr>
        <w:t xml:space="preserve"> set forth below, titled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set forth in Part I, Item 1A of this Form 10-K, and titled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w:t>
      </w:r>
      <w:r>
        <w:rPr>
          <w:rFonts w:ascii="Arial" w:cs="Arial" w:eastAsia="Arial" w:hAnsi="Arial"/>
          <w:sz w:val="18"/>
          <w:szCs w:val="18"/>
          <w:color w:val="auto"/>
        </w:rPr>
        <w:t>”</w:t>
      </w:r>
      <w:r>
        <w:rPr>
          <w:rFonts w:ascii="Arial" w:cs="Arial" w:eastAsia="Arial" w:hAnsi="Arial"/>
          <w:sz w:val="18"/>
          <w:szCs w:val="18"/>
          <w:i w:val="1"/>
          <w:iCs w:val="1"/>
          <w:color w:val="auto"/>
        </w:rPr>
        <w:t xml:space="preserve"> set forth in Part II, Item 7 of this Form 10-K, as well as our other filings made from time to time with the U.S. Securities and Exchange Commission and in our Canadian securities filings.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We undertake no obligation to update forward-looking statements to reflect actual results or changes in assumptions or circumstances, except as required by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w:t>
      </w:r>
      <w:r>
        <w:rPr>
          <w:rFonts w:ascii="Arial" w:cs="Arial" w:eastAsia="Arial" w:hAnsi="Arial"/>
          <w:sz w:val="18"/>
          <w:szCs w:val="18"/>
          <w:i w:val="1"/>
          <w:iCs w:val="1"/>
          <w:color w:val="auto"/>
        </w:rPr>
        <w:t>Item 1A</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 below.</w:t>
      </w:r>
    </w:p>
    <w:p>
      <w:pPr>
        <w:spacing w:after="0" w:line="184" w:lineRule="exact"/>
        <w:rPr>
          <w:sz w:val="20"/>
          <w:szCs w:val="20"/>
          <w:color w:val="auto"/>
        </w:rPr>
      </w:pPr>
    </w:p>
    <w:p>
      <w:pPr>
        <w:jc w:val="both"/>
        <w:ind w:left="520" w:hanging="198"/>
        <w:spacing w:after="0" w:line="263"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an investment and certain arrangement transactions with HEXO Corp. (“HEXO”) and we face uncertainty with respect to our ability to realize a return on our investment and achieve expected production efficiencies and cost savings in connection with the transactions with HEXO as well as the MedMen investment.</w:t>
      </w:r>
    </w:p>
    <w:p>
      <w:pPr>
        <w:spacing w:after="0" w:line="183" w:lineRule="exact"/>
        <w:rPr>
          <w:rFonts w:ascii="Arial" w:cs="Arial" w:eastAsia="Arial" w:hAnsi="Arial"/>
          <w:sz w:val="18"/>
          <w:szCs w:val="18"/>
          <w:color w:val="auto"/>
        </w:rPr>
      </w:pPr>
    </w:p>
    <w:p>
      <w:pPr>
        <w:ind w:left="520" w:hanging="198"/>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70" w:lineRule="exact"/>
        <w:rPr>
          <w:rFonts w:ascii="Arial" w:cs="Arial" w:eastAsia="Arial" w:hAnsi="Arial"/>
          <w:sz w:val="18"/>
          <w:szCs w:val="18"/>
          <w:color w:val="auto"/>
        </w:rPr>
      </w:pPr>
    </w:p>
    <w:p>
      <w:pPr>
        <w:ind w:left="520" w:hanging="19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integrating Tilray and HEXO’s operations and realizing the expected benefits of the Arrangement.</w:t>
      </w:r>
    </w:p>
    <w:p>
      <w:pPr>
        <w:spacing w:after="0" w:line="225" w:lineRule="exact"/>
        <w:rPr>
          <w:rFonts w:ascii="Arial" w:cs="Arial" w:eastAsia="Arial" w:hAnsi="Arial"/>
          <w:sz w:val="18"/>
          <w:szCs w:val="18"/>
          <w:color w:val="auto"/>
        </w:rPr>
      </w:pPr>
    </w:p>
    <w:p>
      <w:pPr>
        <w:ind w:left="520" w:hanging="198"/>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dependent upon regulatory approvals and licenses, ongoing compliance and reporting obligations, and timely renewals.</w:t>
      </w:r>
    </w:p>
    <w:p>
      <w:pPr>
        <w:spacing w:after="0" w:line="236" w:lineRule="exact"/>
        <w:rPr>
          <w:rFonts w:ascii="Arial" w:cs="Arial" w:eastAsia="Arial" w:hAnsi="Arial"/>
          <w:sz w:val="17"/>
          <w:szCs w:val="17"/>
          <w:color w:val="auto"/>
        </w:rPr>
      </w:pPr>
    </w:p>
    <w:p>
      <w:pPr>
        <w:ind w:left="520" w:hanging="198"/>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anticipate competition will increase, which could hurt our business.</w:t>
      </w:r>
    </w:p>
    <w:p>
      <w:pPr>
        <w:spacing w:after="0" w:line="225"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225" w:lineRule="exact"/>
        <w:rPr>
          <w:rFonts w:ascii="Arial" w:cs="Arial" w:eastAsia="Arial" w:hAnsi="Arial"/>
          <w:sz w:val="18"/>
          <w:szCs w:val="18"/>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 regulations relating to hemp-derived CBD products are new and rapidly evolving, and changes may not develop in the timeframe or manner most favorable to our business objectives.</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225" w:lineRule="exact"/>
        <w:rPr>
          <w:rFonts w:ascii="Arial" w:cs="Arial" w:eastAsia="Arial" w:hAnsi="Arial"/>
          <w:sz w:val="18"/>
          <w:szCs w:val="18"/>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SweetWater, Breckenridge and Montauk each face substantial competition in the beer industry and the broader market for alcoholic beverage products which could impact our business and financial results.</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225"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litigation, arbitration and demands, which could result in significant liability and costs, and impact our resources and reputation.</w:t>
      </w:r>
    </w:p>
    <w:p>
      <w:pPr>
        <w:spacing w:after="0" w:line="248" w:lineRule="exact"/>
        <w:rPr>
          <w:rFonts w:ascii="Arial" w:cs="Arial" w:eastAsia="Arial" w:hAnsi="Arial"/>
          <w:sz w:val="16"/>
          <w:szCs w:val="16"/>
          <w:color w:val="auto"/>
        </w:rPr>
      </w:pPr>
    </w:p>
    <w:p>
      <w:pPr>
        <w:ind w:left="200" w:hanging="198"/>
        <w:spacing w:after="0"/>
        <w:tabs>
          <w:tab w:leader="none" w:pos="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strategic alliances and other third-party business relationships may not achieve the intended beneficial impact and expose us to risks.</w:t>
      </w:r>
    </w:p>
    <w:p>
      <w:pPr>
        <w:spacing w:after="0" w:line="236" w:lineRule="exact"/>
        <w:rPr>
          <w:rFonts w:ascii="Arial" w:cs="Arial" w:eastAsia="Arial" w:hAnsi="Arial"/>
          <w:sz w:val="17"/>
          <w:szCs w:val="17"/>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225" w:lineRule="exact"/>
        <w:rPr>
          <w:rFonts w:ascii="Arial" w:cs="Arial" w:eastAsia="Arial" w:hAnsi="Arial"/>
          <w:sz w:val="18"/>
          <w:szCs w:val="18"/>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products may be subject to recalls for a variety of reasons, which could require us to expend significant management and capital resources.</w:t>
      </w:r>
    </w:p>
    <w:p>
      <w:pPr>
        <w:spacing w:after="0" w:line="248" w:lineRule="exact"/>
        <w:rPr>
          <w:rFonts w:ascii="Arial" w:cs="Arial" w:eastAsia="Arial" w:hAnsi="Arial"/>
          <w:sz w:val="16"/>
          <w:szCs w:val="16"/>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225"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225"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225" w:lineRule="exact"/>
        <w:rPr>
          <w:rFonts w:ascii="Arial" w:cs="Arial" w:eastAsia="Arial" w:hAnsi="Arial"/>
          <w:sz w:val="18"/>
          <w:szCs w:val="18"/>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70" w:lineRule="exact"/>
        <w:rPr>
          <w:rFonts w:ascii="Arial" w:cs="Arial" w:eastAsia="Arial" w:hAnsi="Arial"/>
          <w:sz w:val="18"/>
          <w:szCs w:val="18"/>
          <w:color w:val="auto"/>
        </w:rPr>
      </w:pPr>
    </w:p>
    <w:p>
      <w:pPr>
        <w:ind w:left="200" w:hanging="198"/>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have the ability to raise the funds necessary to settle conversions of the convertible securities in cash or to repurchase the convertible securities upon a fundamental change.</w:t>
      </w:r>
    </w:p>
    <w:p>
      <w:pPr>
        <w:spacing w:after="0" w:line="170" w:lineRule="exact"/>
        <w:rPr>
          <w:rFonts w:ascii="Arial" w:cs="Arial" w:eastAsia="Arial" w:hAnsi="Arial"/>
          <w:sz w:val="18"/>
          <w:szCs w:val="18"/>
          <w:color w:val="auto"/>
        </w:rPr>
      </w:pPr>
    </w:p>
    <w:p>
      <w:pPr>
        <w:ind w:left="200" w:hanging="19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other risks generally applicable to our industry and the conduct of our business.</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4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Tilray Brands, Inc., a Delaware corporation (collectively, along with its subsidiaries, the “Company”, “Tilray”, “we”, “us” and “our”) is a leading global cannabis-lifestyle and consumer packaged goods company, which was incorporated on January 24, 2018 and headquartered in Leamington and New York, with operations in Canada, the United States, Europe, Australia and Latin America that is changing people’s lives for the better – one person at a time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by inspiring and empowering a worldwide community to live their very best life enhanced by moments of connection and wellbeing. Tilray’s mission is to be the most responsible, trusted and market leading cannabis-lifestyle and consumer packaged goods company in the world with a portfolio of innovative, high-quality and beloved brands that address the needs of the consumers, customers and patients we serve. Patients and consumers trust Tilray Brands to be the most responsible, trusted and market leading cannabis consumer products company in the world with a portfolio of innovative, high-quality, and beloved brands that address the needs of the consumers, customers, and patients we serve. Our business consists of four reporting segments, which are defined by the industry in which we compete, target consumer and need and route-to-market. These reporting segments consist of medical cannabis, adult-use cannabis, beverage alcohol and wellness.</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were among the first companies to be permitted to cultivate and sell legal medical cannabis. Today, we supply high-quality medical cannabis products to tens of thousands of patients in 21 countries spanning five continents through our global subsidiaries, and through agreements with established pharmaceutical distributors. We are also a leader in the recreational adult-use market in Canada. In the United States, we are one of the largest craft brewers and have businesses in the distilled spirits and hemp-based foods industries.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30, 2021, Tilray acquired all of the issued and outstanding common shares of Aphria Inc. via a plan of arrangement (the “Arrangement”). The Arrangement brought together two highly complementary businesses to create a leading cannabis-lifestyle and consumer packaged goods company with one of the largest global geographic footprints in the industry.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7, 2022, Tilray acquired Montauk Brewing Company, Inc. ("Montauk"), a leading craft brewer in Metro New York located in Montauk, New York (the “Montauk Acquisition”). Montauk is well-known for its beloved product portfolio, premium price point, and distribution across over 6,400 points of distribution and is a welcomed addition to our growing craft alcohol and beer businesses.</w:t>
      </w:r>
    </w:p>
    <w:p>
      <w:pPr>
        <w:spacing w:after="0" w:line="18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10, 2023, we entered into an Arrangement Agreement (the “Arrangement Agreement”) with HEXO Corp. (“HEXO”), pursuant to which Tilray agreed to acquire all of the issued and outstanding common shares of HEXO pursuant to a plan of arrangement under the Business Corporations Act (Ontario) (the “Arrangement”). This transaction builds on the successful strategic alliance between the two companies and positions Tilray for continued strong growth and market leadership in Canada, the largest federally legal cannabis market in the world. We closed the acquisition of HEXO on June 22, 2023.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overall strategy is to leverage our brands, infrastructure, expertise and capabilities to drive market share in the industries in which we compete,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and entries into new geographies. In addition, we are relentlessly focused on managing our cost of goods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120" w:firstLine="648"/>
        <w:spacing w:after="0" w:line="263" w:lineRule="auto"/>
        <w:rPr>
          <w:sz w:val="20"/>
          <w:szCs w:val="20"/>
          <w:color w:val="auto"/>
        </w:rPr>
      </w:pPr>
      <w:r>
        <w:rPr>
          <w:rFonts w:ascii="Arial" w:cs="Arial" w:eastAsia="Arial" w:hAnsi="Arial"/>
          <w:sz w:val="18"/>
          <w:szCs w:val="18"/>
          <w:color w:val="auto"/>
        </w:rPr>
        <w:t>To achieve our vision of building the leading global cannabis-lifestyle and consumer packaged goods company that is changing people’s lives for the better – one person at a time – by inspiring and empowering the worldwide community to live their very best life, we will focus on the following strategies:</w:t>
      </w:r>
    </w:p>
    <w:p>
      <w:pPr>
        <w:spacing w:after="0" w:line="184" w:lineRule="exact"/>
        <w:rPr>
          <w:sz w:val="20"/>
          <w:szCs w:val="20"/>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Build global brands that lead in their respective industries by winning the hearts and minds of our consumers and patients</w:t>
      </w:r>
      <w:r>
        <w:rPr>
          <w:rFonts w:ascii="Arial" w:cs="Arial" w:eastAsia="Arial" w:hAnsi="Arial"/>
          <w:sz w:val="18"/>
          <w:szCs w:val="18"/>
          <w:color w:val="auto"/>
        </w:rPr>
        <w:t>. We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marketing leading brands, which are beloved and trusted by our consumers and patients. Through this extensive portfolio, we seek to continue to build loyalty by providing our consumers and patients with a differentiated and expanded portfolio designed to meet their needs and desires, driven by research and insights.</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innovative products and form factors that change the way the world consumes cannabis. </w:t>
      </w:r>
      <w:r>
        <w:rPr>
          <w:rFonts w:ascii="Arial" w:cs="Arial" w:eastAsia="Arial" w:hAnsi="Arial"/>
          <w:sz w:val="18"/>
          <w:szCs w:val="18"/>
          <w:color w:val="auto"/>
        </w:rPr>
        <w:t>We plan to continue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products that possess the most consumer demand and are truly differentiated from our competitors, while optimizing our cultivation and production facilities. We will continue to invest in innovation in order to continue to provide our patients and consumers with a differentiated portfolio of products that exceeds their expectations and meets their needs.</w:t>
      </w:r>
    </w:p>
    <w:p>
      <w:pPr>
        <w:spacing w:after="0" w:line="18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Grow and leverage our investment in craft beer, spirits and hemp-based food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the U.S., our strategic acquisitions of beverage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alcohol businesses are the cornerstone of our longer-term U.S. strategy and an important step towards achieving our vision to change people's lives for the better by inspiring and empowering the worldwide community to live their very best life. In addition to acquiring strong brands and profitable businesses, our strategic investments in beverage alcohol and food in the U.S. provides us with a platform and infrastructure within the U.S. to enable us to access the U.S. market more quickly in the event of federal legalization. In advance of federal legalization, we are focused on leading the craft beer segment, including growing our SweetWater, Alpine, Green Flash and, most recently, Montauk brands by bringing new consumers into the segment focusing on new product development and innovation that delights our consumers and building brand awareness. We have also diversified our presence in the beverage alcohol space through the purchase of Breckenridge, known for its award-winning bourbon whiskey collection and innovative craft spirits portfolio. In addition to driving growth in our beverage alcohol businesses, we also seek to drive growth in our Tilray Wellness platform, which currently consists of our Manitoba Harvest brand and other hemp-based food and ingredients products by leveraging our consumer insights and consumer marketing activities, new product development as well as educating the consumer on the benefits from hemp-based foods. In the event of federal legalization in the U.S., we expect to be well-positioned to compete in the U.S. cannabis market given our existing strong brands and distribution system in addition to our track record of growth in consumer-packaged goods and cannabis products. Until federal legalization, we intend to continue to diversify and grow our businesses while maximizing their profitability.</w:t>
      </w:r>
    </w:p>
    <w:p>
      <w:pPr>
        <w:spacing w:after="0" w:line="390" w:lineRule="exact"/>
        <w:rPr>
          <w:rFonts w:ascii="Arial" w:cs="Arial" w:eastAsia="Arial" w:hAnsi="Arial"/>
          <w:sz w:val="16"/>
          <w:szCs w:val="16"/>
          <w:color w:val="auto"/>
        </w:rPr>
      </w:pPr>
    </w:p>
    <w:p>
      <w:pPr>
        <w:jc w:val="both"/>
        <w:ind w:left="980" w:hanging="324"/>
        <w:spacing w:after="0" w:line="28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the availability of high quality, consistent medical cannabis products for patients around the world, wherever they are legal. </w:t>
      </w:r>
      <w:r>
        <w:rPr>
          <w:rFonts w:ascii="Arial" w:cs="Arial" w:eastAsia="Arial" w:hAnsi="Arial"/>
          <w:sz w:val="16"/>
          <w:szCs w:val="16"/>
          <w:color w:val="auto"/>
        </w:rPr>
        <w:t>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we have seen an increase in the demand for medical cannabis from both patients, doctors and governments in conjunction with a shift in the medical community, which is increasingly recognizing medical cannabis as a viable option for the treatment of patients suffering from a variety of health conditions. We area focused on driving availability to high-quality medical cannabis that is accessible to all. Internationally, we have made significant investments in our operations within Europe and we are well-positioned to pursue international growth opportunities with our strong medical cannabis brands, distribution network in Germany with CC Pharma, and end-to-end European Union Good Manufacturing Practices (“EU-GMP”) supply chain, which includes EU-GMP production facilities in Portugal and Germany. We intend to continue to maximize the utilization of our existing assets and investments in connection with the development and execution of our international growth plans, while leveraging our cannabis expertise and well-established medical brands. Through our well positioned cultivation facilities in Portugal and Germany, we intend to fuel the demand for our EU GMP certified medical grade cannabis internationally. By building on this foundation, we strive to maintain our leadership position in the international cannabis industry.</w:t>
      </w:r>
    </w:p>
    <w:p>
      <w:pPr>
        <w:spacing w:after="0" w:line="171"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and drive efficiencies in our global operations with a relentless focus on cost reduction and cash generation. </w:t>
      </w:r>
      <w:r>
        <w:rPr>
          <w:rFonts w:ascii="Arial" w:cs="Arial" w:eastAsia="Arial" w:hAnsi="Arial"/>
          <w:sz w:val="18"/>
          <w:szCs w:val="18"/>
          <w:color w:val="auto"/>
        </w:rPr>
        <w:t>In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pillars, we continuously evaluate our cost structure for efficiencies and synergies and eliminate cost when warranted. In cannabis, our state-of-the-art facilities are among the lowest cost production operations with the capabilities to produce a complete portfolio of form factors and products, including flower, pre-roll, capsules, vapes, edibles and beverages. This approach has permitted us to maintain a strong, flexible balance sheet, cash balance and access to capital, which we believe will assist us to accelerate growth and deliver long-term sustainable value for our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consists of four reporting segments, which are defined by the industry in which we compete, target consumer and need, route to market, and margins. This enables us to track and measure our performance and build processes for repeatable success in each of these categories. Our defined reporting segments align with how our Chief Operating Decision Maker (“CODM”) evaluates and manages our business, including resource allocation and performance assessment. We report our operating results in four reportable segments:</w:t>
      </w:r>
    </w:p>
    <w:p>
      <w:pPr>
        <w:spacing w:after="0" w:line="17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Cannabis business </w:t>
      </w:r>
      <w:r>
        <w:rPr>
          <w:rFonts w:ascii="Arial" w:cs="Arial" w:eastAsia="Arial" w:hAnsi="Arial"/>
          <w:sz w:val="18"/>
          <w:szCs w:val="18"/>
          <w:color w:val="auto"/>
        </w:rPr>
        <w:t>– Cultivation, production, distribution and sale of both medical and adult-use cannabis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business </w:t>
      </w:r>
      <w:r>
        <w:rPr>
          <w:rFonts w:ascii="Arial" w:cs="Arial" w:eastAsia="Arial" w:hAnsi="Arial"/>
          <w:sz w:val="18"/>
          <w:szCs w:val="18"/>
          <w:color w:val="auto"/>
        </w:rPr>
        <w:t>– Purchase and resale of pharmaceutical and wellness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Beverage alcohol business </w:t>
      </w:r>
      <w:r>
        <w:rPr>
          <w:rFonts w:ascii="Arial" w:cs="Arial" w:eastAsia="Arial" w:hAnsi="Arial"/>
          <w:sz w:val="18"/>
          <w:szCs w:val="18"/>
          <w:color w:val="auto"/>
        </w:rPr>
        <w:t>– Production, marketing and sale of beverage alcohol products</w:t>
      </w:r>
    </w:p>
    <w:p>
      <w:pPr>
        <w:spacing w:after="0" w:line="252" w:lineRule="exact"/>
        <w:rPr>
          <w:rFonts w:ascii="Arial" w:cs="Arial" w:eastAsia="Arial" w:hAnsi="Arial"/>
          <w:sz w:val="18"/>
          <w:szCs w:val="18"/>
          <w:color w:val="auto"/>
        </w:rPr>
      </w:pPr>
    </w:p>
    <w:p>
      <w:pPr>
        <w:ind w:left="660" w:right="2480" w:hanging="4"/>
        <w:spacing w:after="0" w:line="578" w:lineRule="auto"/>
        <w:tabs>
          <w:tab w:leader="none" w:pos="98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Wellness business </w:t>
      </w:r>
      <w:r>
        <w:rPr>
          <w:rFonts w:ascii="Arial" w:cs="Arial" w:eastAsia="Arial" w:hAnsi="Arial"/>
          <w:sz w:val="16"/>
          <w:szCs w:val="16"/>
          <w:color w:val="auto"/>
        </w:rPr>
        <w:t>– Production, marketing and distribution of hemp-based food and other wellness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 these four reportable business segments, and the year over year comparison,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of Total</w:t>
            </w: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May 31, 2023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31, 2022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31, 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Cannabis business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220,430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Distribution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258,770</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259,747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 business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71,492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Wellness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52,831</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59,611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627,124</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513,085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in these four reportable business segments as reported in constant currency</w:t>
      </w:r>
      <w:r>
        <w:rPr>
          <w:rFonts w:ascii="Arial" w:cs="Arial" w:eastAsia="Arial" w:hAnsi="Arial"/>
          <w:sz w:val="28"/>
          <w:szCs w:val="28"/>
          <w:color w:val="auto"/>
          <w:vertAlign w:val="superscript"/>
        </w:rPr>
        <w:t>1</w:t>
      </w:r>
      <w:r>
        <w:rPr>
          <w:rFonts w:ascii="Arial" w:cs="Arial" w:eastAsia="Arial" w:hAnsi="Arial"/>
          <w:sz w:val="17"/>
          <w:szCs w:val="17"/>
          <w:color w:val="auto"/>
        </w:rPr>
        <w:t>, and the year over year comparison,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May 31, 2023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May 31, 2022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reported in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as reported in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constant</w:t>
            </w:r>
          </w:p>
        </w:tc>
        <w:tc>
          <w:tcPr>
            <w:tcW w:w="2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 of Total</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constant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currency</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currency</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Cannabis business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Distribution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285,115</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259,747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 business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95,093</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71,492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Wellness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54,429</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59,611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667,864</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from our cannabis operations from the following sales channel and the year over year comparison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of Total</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Year Ended</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Year Ended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31, 2023</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31, 2022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31, 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1"/>
              </w:rPr>
              <w:t>Revenue from Canadian medical cannabis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Revenue from Canadian adult-use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cannabis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214,319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209,501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222,930</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 from wholesale cannabis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Revenue from international cannabis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43,559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53,887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9,250</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Less excise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(63,884)</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(63,369)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220,430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237,522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201,392</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Revenue from our cannabis operations from the following sales channel as reported in constant currency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the year over year comparison is as</w:t>
      </w:r>
    </w:p>
    <w:p>
      <w:pPr>
        <w:spacing w:after="0"/>
        <w:rPr>
          <w:sz w:val="20"/>
          <w:szCs w:val="20"/>
          <w:color w:val="auto"/>
        </w:rPr>
      </w:pPr>
      <w:r>
        <w:rPr>
          <w:rFonts w:ascii="Arial" w:cs="Arial" w:eastAsia="Arial" w:hAnsi="Arial"/>
          <w:sz w:val="18"/>
          <w:szCs w:val="18"/>
          <w:color w:val="auto"/>
        </w:rPr>
        <w:t>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May 31, 2023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May 31, 2022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as reported in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as reported in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constant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 of Total</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constant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currency</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currency</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Canadian medical cannabis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26,612</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 from Canadian adult-use cannabis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225,694</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209,501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wholesale cannabis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 from international cannabis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47,434</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53,887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excise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(68,042)</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233,227</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237,522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right="480" w:hanging="272"/>
        <w:spacing w:after="0" w:line="277" w:lineRule="auto"/>
        <w:tabs>
          <w:tab w:leader="none" w:pos="2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constant currency presentation of our Cannabis revenue based on market channel is a non-GAAP financial measure. See </w:t>
      </w:r>
      <w:r>
        <w:rPr>
          <w:rFonts w:ascii="Arial" w:cs="Arial" w:eastAsia="Arial" w:hAnsi="Arial"/>
          <w:sz w:val="18"/>
          <w:szCs w:val="18"/>
          <w:color w:val="auto"/>
        </w:rPr>
        <w:t>“</w:t>
      </w:r>
      <w:r>
        <w:rPr>
          <w:rFonts w:ascii="Arial" w:cs="Arial" w:eastAsia="Arial" w:hAnsi="Arial"/>
          <w:sz w:val="18"/>
          <w:szCs w:val="18"/>
          <w:i w:val="1"/>
          <w:iCs w:val="1"/>
          <w:color w:val="auto"/>
        </w:rPr>
        <w:t xml:space="preserve">Use of Non-GAAP Measures </w:t>
      </w:r>
      <w:r>
        <w:rPr>
          <w:rFonts w:ascii="Arial" w:cs="Arial" w:eastAsia="Arial" w:hAnsi="Arial"/>
          <w:sz w:val="18"/>
          <w:szCs w:val="18"/>
          <w:color w:val="auto"/>
        </w:rPr>
        <w:t>–</w:t>
      </w:r>
      <w:r>
        <w:rPr>
          <w:rFonts w:ascii="Arial" w:cs="Arial" w:eastAsia="Arial" w:hAnsi="Arial"/>
          <w:sz w:val="18"/>
          <w:szCs w:val="18"/>
          <w:i w:val="1"/>
          <w:iCs w:val="1"/>
          <w:color w:val="auto"/>
        </w:rPr>
        <w:t>Constant Currency Presentation</w:t>
      </w:r>
      <w:r>
        <w:rPr>
          <w:rFonts w:ascii="Arial" w:cs="Arial" w:eastAsia="Arial" w:hAnsi="Arial"/>
          <w:sz w:val="18"/>
          <w:szCs w:val="18"/>
          <w:color w:val="auto"/>
        </w:rPr>
        <w:t>”</w:t>
      </w:r>
      <w:r>
        <w:rPr>
          <w:rFonts w:ascii="Arial" w:cs="Arial" w:eastAsia="Arial" w:hAnsi="Arial"/>
          <w:sz w:val="18"/>
          <w:szCs w:val="18"/>
          <w:i w:val="1"/>
          <w:iCs w:val="1"/>
          <w:color w:val="auto"/>
        </w:rPr>
        <w:t xml:space="preserve"> for a discussion of these Non-GAAP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 and Products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brand and product strategy centers on developing a broad portfolio of differentiated brands and products designed to appeal to diverse groups of patients and consumers driven by research and insights. Our brand and product activities are designed to comply with all local regulations and requirements, including applicable labelling and marketing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Medical Cannabis Brands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among the first companies to be permitted to cultivate and sell legal medical cannabis. Today, we supply high-quality medical cannabis products to tens of thousands of patients in over 21 countries spanning five continents through our global subsidiaries, and through agreements with established pharmaceutical distributors. Tilray Medical is dedicated to transforming lives and fostering dignity for patients in need through safe and reliable access to a global portfolio of medical cannabis brands, including Tilray, Aphria, Broken Coast, Symbios, Navcora, and Charlotte's Web. Tilray grew from being one of the first companies to become an approved licensed producer of medical cannabis in Canada to building the first GMP-certified cannabis production facilities in Europe, first in Portugal and later in Germany. Today, Tilray Medical is one of the largest suppliers of medical cannabis brands to patients, physicians, hospitals, pharmacies, researchers, and governments, in 21 countries and across five continents. Our medical cannabis brands consist of:</w:t>
      </w:r>
    </w:p>
    <w:p>
      <w:pPr>
        <w:spacing w:after="0" w:line="188" w:lineRule="exact"/>
        <w:rPr>
          <w:sz w:val="20"/>
          <w:szCs w:val="20"/>
          <w:color w:val="auto"/>
        </w:rPr>
      </w:pPr>
    </w:p>
    <w:p>
      <w:pPr>
        <w:jc w:val="both"/>
        <w:ind w:left="980" w:hanging="324"/>
        <w:spacing w:after="0" w:line="277"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Tilray® </w:t>
      </w:r>
      <w:r>
        <w:rPr>
          <w:rFonts w:ascii="Arial" w:cs="Arial" w:eastAsia="Arial" w:hAnsi="Arial"/>
          <w:sz w:val="17"/>
          <w:szCs w:val="17"/>
          <w:color w:val="auto"/>
        </w:rPr>
        <w:t>- The Tilray brand is a medical cannabis brand designed for prescribers and patients in the global medical market by offering a wide</w:t>
      </w:r>
      <w:r>
        <w:rPr>
          <w:rFonts w:ascii="Arial" w:cs="Arial" w:eastAsia="Arial" w:hAnsi="Arial"/>
          <w:sz w:val="17"/>
          <w:szCs w:val="17"/>
          <w:b w:val="1"/>
          <w:bCs w:val="1"/>
          <w:color w:val="auto"/>
        </w:rPr>
        <w:t xml:space="preserve"> </w:t>
      </w:r>
      <w:r>
        <w:rPr>
          <w:rFonts w:ascii="Arial" w:cs="Arial" w:eastAsia="Arial" w:hAnsi="Arial"/>
          <w:sz w:val="17"/>
          <w:szCs w:val="17"/>
          <w:color w:val="auto"/>
        </w:rPr>
        <w:t>range of high-quality, consistent pharmaceutical-grade medical cannabis and cannabinoid-based products. We believe patients and prescribers choose the Tilray brand because of our rigorous quality standards and the brand is a trusted, scientific based brand known for its medical-grade products. In Canada, Tilray has also partnered with Indiva to carry a wider array of product offerings, specifically in the edibles category, through its medical platform to better serve the interests of our patients.</w:t>
      </w:r>
    </w:p>
    <w:p>
      <w:pPr>
        <w:spacing w:after="0" w:line="167" w:lineRule="exact"/>
        <w:rPr>
          <w:rFonts w:ascii="Arial" w:cs="Arial" w:eastAsia="Arial" w:hAnsi="Arial"/>
          <w:sz w:val="17"/>
          <w:szCs w:val="17"/>
          <w:color w:val="auto"/>
        </w:rPr>
      </w:pPr>
    </w:p>
    <w:p>
      <w:pPr>
        <w:jc w:val="both"/>
        <w:ind w:left="980" w:hanging="324"/>
        <w:spacing w:after="0" w:line="26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Aphria®</w:t>
      </w:r>
      <w:r>
        <w:rPr>
          <w:rFonts w:ascii="Arial" w:cs="Arial" w:eastAsia="Arial" w:hAnsi="Arial"/>
          <w:sz w:val="18"/>
          <w:szCs w:val="18"/>
          <w:color w:val="auto"/>
        </w:rPr>
        <w:t>- Since 2014, the Aphria brand is a leading, trusted choice for Canadian patients seeking high quality pharmaceutical-grade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Today, the Aphria brand continues to be a leading brand in Canada and, we will continue to leverage its market leadership as we develop our medical cannabis markets internationally under the Aphria brand.</w:t>
      </w:r>
    </w:p>
    <w:p>
      <w:pPr>
        <w:spacing w:after="0" w:line="175"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Broken Coast® </w:t>
      </w:r>
      <w:r>
        <w:rPr>
          <w:rFonts w:ascii="Arial" w:cs="Arial" w:eastAsia="Arial" w:hAnsi="Arial"/>
          <w:sz w:val="18"/>
          <w:szCs w:val="18"/>
          <w:color w:val="auto"/>
        </w:rPr>
        <w:t>- Medical cannabis products under the Broken Coast brand are grown in small batches in single-strain rooms,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product quality in order to meet our Canadian patient expectations. Subsequent to the year-ended May 31, 2023, the Company completed its first shipment of Broken Coast product to Australia where the reputation and quality of the flower makes it a highly sought after product in this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ind w:left="980" w:hanging="324"/>
        <w:spacing w:after="0" w:line="31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Symbios® </w:t>
      </w:r>
      <w:r>
        <w:rPr>
          <w:rFonts w:ascii="Arial" w:cs="Arial" w:eastAsia="Arial" w:hAnsi="Arial"/>
          <w:sz w:val="17"/>
          <w:szCs w:val="17"/>
          <w:color w:val="auto"/>
        </w:rPr>
        <w:t>- Launched in 2021, Symbios was developed to provide Canadian patients with a broader spectrum of formats and unique</w:t>
      </w:r>
      <w:r>
        <w:rPr>
          <w:rFonts w:ascii="Arial" w:cs="Arial" w:eastAsia="Arial" w:hAnsi="Arial"/>
          <w:sz w:val="17"/>
          <w:szCs w:val="17"/>
          <w:b w:val="1"/>
          <w:bCs w:val="1"/>
          <w:color w:val="auto"/>
        </w:rPr>
        <w:t xml:space="preserve"> </w:t>
      </w:r>
      <w:r>
        <w:rPr>
          <w:rFonts w:ascii="Arial" w:cs="Arial" w:eastAsia="Arial" w:hAnsi="Arial"/>
          <w:sz w:val="17"/>
          <w:szCs w:val="17"/>
          <w:color w:val="auto"/>
        </w:rPr>
        <w:t>cannabinoid ratios at a better price point while offering a full comprehensive assortment of products, including flower, oils, and pre-rolls.</w:t>
      </w:r>
    </w:p>
    <w:p>
      <w:pPr>
        <w:spacing w:after="0" w:line="139" w:lineRule="exact"/>
        <w:rPr>
          <w:rFonts w:ascii="Arial" w:cs="Arial" w:eastAsia="Arial" w:hAnsi="Arial"/>
          <w:sz w:val="17"/>
          <w:szCs w:val="17"/>
          <w:color w:val="auto"/>
        </w:rPr>
      </w:pPr>
    </w:p>
    <w:p>
      <w:pPr>
        <w:jc w:val="both"/>
        <w:ind w:left="9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Navcora® </w:t>
      </w:r>
      <w:r>
        <w:rPr>
          <w:rFonts w:ascii="Arial" w:cs="Arial" w:eastAsia="Arial" w:hAnsi="Arial"/>
          <w:sz w:val="18"/>
          <w:szCs w:val="18"/>
          <w:color w:val="auto"/>
        </w:rPr>
        <w:t>- Launched in 2020, Navcora is dedicated to making pharmaceutical grade cannabis more accessible and reliable in the German</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The Navcora brand is complementary to our existing Tilray medical brand, and is designed to increase our points of distribution in the German medical cannabis market.</w:t>
      </w:r>
    </w:p>
    <w:p>
      <w:pPr>
        <w:spacing w:after="0" w:line="175" w:lineRule="exact"/>
        <w:rPr>
          <w:rFonts w:ascii="Arial" w:cs="Arial" w:eastAsia="Arial" w:hAnsi="Arial"/>
          <w:sz w:val="18"/>
          <w:szCs w:val="18"/>
          <w:color w:val="auto"/>
        </w:rPr>
      </w:pPr>
    </w:p>
    <w:p>
      <w:pPr>
        <w:jc w:val="both"/>
        <w:ind w:left="980" w:hanging="324"/>
        <w:spacing w:after="0" w:line="18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Charlotte's Web</w:t>
      </w:r>
      <w:r>
        <w:rPr>
          <w:rFonts w:ascii="Arial" w:cs="Arial" w:eastAsia="Arial" w:hAnsi="Arial"/>
          <w:sz w:val="29"/>
          <w:szCs w:val="29"/>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 During the year, the Company entered into a strategic alliance which includes licensing, manufacturing,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distribution for Charlotte’s Web</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CBD hemp extract products in Canada. For the first time, Canadians will have the ease of nationwide availability of Charlotte’s Web</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full spectrum CBD products through Tilray’s medical cannabis distribution network. While no shipments were completed during the fiscal year, production commenced and the Company anticipates the first sale to be in the first half of fiscal year 2024.</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committed to meeting the needs of our patients whether they are looking for more natural options for their medical needs, exploring their options in wellness, or seeking alternatives in their lifestyle. Accessibility is a top priority for Tilray. We are committed to ensuring patients have access to the medication they depend on through a strong supply chain and dedicated support through our dedicated patient care teams. Our product lines focus on active ingredients and standardized, well-defined preparation methods. We use formulations and delivery formats that are intended to allow for consistent and measured dosing, and we test all our products for potency and purity. Each of our commercial products are developed with comprehensive analysis and thorough documentation.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a scientific approach to our medical-use product development which we believe establishes credibility and trust in the medical community. We produce products that are characterized by well-defined and reproducible cannabinoid and terpene content, formulated for stable pharmacokinetic profiles, which are customizable in a variety of formulations. We continue to conduct extensive research and development activities and develop and promote new products for medical 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Adult-Use Cannabis Brands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leader in the recreational adult-use market in Canada where we offer a broad-based portfolio of adult-use brands and products and continue to expand our portfolio to include new innovative cannabis products and formats. We maintain agreements to supply all Canadian provinces and territories with our adult-use products for sale through their established retail distribution systems. We believe that our differentiated portfolio of brands, which is designed to resonate with consumers in all categories, sets us apart from our competitors and is providing us with the ability to establish a leading position in the adult-use market in Canada. Therefore, we are investing in brand building with our consumers, new product innovation, insights, distribution, trade marketing and cannabis education to drive market share in the Canadian adult-use cannabis industry.</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our portfolio of brands, developed for consumers across broad demographics and targeted segments, remains unmatched in the industry. With a focus on brand building, innovation, loyalty and conversion, we seek to drive growth with our differentiated portfolio of brands and products, both in sales and market share across categories. The Company is investing capital and resources to establish a leadership position in the adult-use market in Canada. These investments are focused on brand building with consumers, product innovation, distribution, trade marketing and cannabis education. Our strategy is to develop a brand focused portfolio that resonates with consumers in all category segments.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positioned to grow our adult-use brand portfolio to specifically meet the needs and preferences of different consumer segments of the adult-use cannabis market. We leverage our selection of strains to offer each consumer segment a different experience through its product and terpene profiles, while also focusing on the value proposition for each of these segments as it relates to price, potency and product assortment.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Each brand is unique to a specific consumer segment and designed to meet the needs of these targeted segments, as described below. Our portfolio of brands and products and our marketing activities have been carefully curated and structured to enable us to develop and promote our brands and product lines in an effective and compliant manner. We continue to develop additional brands and new products, such as edibles and beverages, with more innovative products in our pipeline. Our brand portfolio consists of the following: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ECONOMY BRANDS</w:t>
      </w:r>
    </w:p>
    <w:p>
      <w:pPr>
        <w:sectPr>
          <w:pgSz w:w="11900" w:h="16838" w:orient="portrait"/>
          <w:cols w:equalWidth="0" w:num="1">
            <w:col w:w="11240"/>
          </w:cols>
          <w:pgMar w:left="320" w:top="584" w:right="33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B!NGO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B!NGO is like a nice cold beer on a summer’s day. Our products hit the spot and gives consumers that little something that lets them enjoy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moment.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the everyday companion that keeps it light and simple.</w:t>
      </w:r>
    </w:p>
    <w:p>
      <w:pPr>
        <w:spacing w:after="0" w:line="45" w:lineRule="exact"/>
        <w:rPr>
          <w:sz w:val="20"/>
          <w:szCs w:val="20"/>
          <w:color w:val="auto"/>
        </w:rPr>
      </w:pPr>
    </w:p>
    <w:p>
      <w:pPr>
        <w:sectPr>
          <w:pgSz w:w="11900" w:h="16838" w:orient="portrait"/>
          <w:cols w:equalWidth="0" w:num="2">
            <w:col w:w="600" w:space="640"/>
            <w:col w:w="10000"/>
          </w:cols>
          <w:pgMar w:left="320" w:top="58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Batch</w:t>
      </w:r>
    </w:p>
    <w:p>
      <w:pPr>
        <w:spacing w:after="0" w:line="20" w:lineRule="exact"/>
        <w:rPr>
          <w:sz w:val="20"/>
          <w:szCs w:val="20"/>
          <w:color w:val="auto"/>
        </w:rPr>
      </w:pPr>
      <w:r>
        <w:rPr>
          <w:sz w:val="20"/>
          <w:szCs w:val="20"/>
          <w:color w:val="auto"/>
        </w:rPr>
        <w:br w:type="column"/>
      </w:r>
    </w:p>
    <w:p>
      <w:pPr>
        <w:ind w:right="160"/>
        <w:spacing w:after="0" w:line="314" w:lineRule="auto"/>
        <w:rPr>
          <w:sz w:val="20"/>
          <w:szCs w:val="20"/>
          <w:color w:val="auto"/>
        </w:rPr>
      </w:pPr>
      <w:r>
        <w:rPr>
          <w:rFonts w:ascii="Arial" w:cs="Arial" w:eastAsia="Arial" w:hAnsi="Arial"/>
          <w:sz w:val="16"/>
          <w:szCs w:val="16"/>
          <w:color w:val="auto"/>
        </w:rPr>
        <w:t>A no-frills cannabis value brand focused on delivering quality cannabis flower and pre-rolls at competitive prices. The Batch categorizes its product offering by potency rather than cultivar, allowing us to offer quality cannabis at prices that beat the illicit market.</w:t>
      </w:r>
    </w:p>
    <w:p>
      <w:pPr>
        <w:spacing w:after="0" w:line="1" w:lineRule="exact"/>
        <w:rPr>
          <w:sz w:val="20"/>
          <w:szCs w:val="20"/>
          <w:color w:val="auto"/>
        </w:rPr>
      </w:pPr>
    </w:p>
    <w:p>
      <w:pPr>
        <w:sectPr>
          <w:pgSz w:w="11900" w:h="16838" w:orient="portrait"/>
          <w:cols w:equalWidth="0" w:num="2">
            <w:col w:w="800" w:space="440"/>
            <w:col w:w="10000"/>
          </w:cols>
          <w:pgMar w:left="320" w:top="584"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VALUE BRANDS</w:t>
      </w:r>
    </w:p>
    <w:p>
      <w:pPr>
        <w:sectPr>
          <w:pgSz w:w="11900" w:h="16838" w:orient="portrait"/>
          <w:cols w:equalWidth="0" w:num="1">
            <w:col w:w="11240"/>
          </w:cols>
          <w:pgMar w:left="320" w:top="584"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Dubon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good stuff”, a vibrantly Québécois cannabis brand and champion of inspired, creative living. Dubon offers master-crafted cannabis cultivars as whole flower and pre-rolls, exclusively available in Québec.</w:t>
      </w:r>
    </w:p>
    <w:p>
      <w:pPr>
        <w:spacing w:after="0" w:line="4" w:lineRule="exact"/>
        <w:rPr>
          <w:sz w:val="20"/>
          <w:szCs w:val="20"/>
          <w:color w:val="auto"/>
        </w:rPr>
      </w:pPr>
    </w:p>
    <w:p>
      <w:pPr>
        <w:sectPr>
          <w:pgSz w:w="11900" w:h="16838" w:orient="portrait"/>
          <w:cols w:equalWidth="0" w:num="2">
            <w:col w:w="520" w:space="720"/>
            <w:col w:w="10000"/>
          </w:cols>
          <w:pgMar w:left="320" w:top="584"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CORE BRANDS</w:t>
      </w:r>
    </w:p>
    <w:p>
      <w:pPr>
        <w:sectPr>
          <w:pgSz w:w="11900" w:h="16838" w:orient="portrait"/>
          <w:cols w:equalWidth="0" w:num="1">
            <w:col w:w="11240"/>
          </w:cols>
          <w:pgMar w:left="320" w:top="584"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 Supply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Quality Bud, No B.S. Good Supply is brand that embraces the goodness of classic cannabis culture – it speaks your language and reminds you of when you first fell in love with cannabis.</w:t>
      </w:r>
    </w:p>
    <w:p>
      <w:pPr>
        <w:spacing w:after="0" w:line="4" w:lineRule="exact"/>
        <w:rPr>
          <w:sz w:val="20"/>
          <w:szCs w:val="20"/>
          <w:color w:val="auto"/>
        </w:rPr>
      </w:pPr>
    </w:p>
    <w:p>
      <w:pPr>
        <w:sectPr>
          <w:pgSz w:w="11900" w:h="16838" w:orient="portrait"/>
          <w:cols w:equalWidth="0" w:num="2">
            <w:col w:w="1020" w:space="220"/>
            <w:col w:w="10000"/>
          </w:cols>
          <w:pgMar w:left="320" w:top="58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Solei Sungrown </w:t>
      </w:r>
      <w:r>
        <w:rPr>
          <w:rFonts w:ascii="Arial" w:cs="Arial" w:eastAsia="Arial" w:hAnsi="Arial"/>
          <w:sz w:val="16"/>
          <w:szCs w:val="16"/>
          <w:color w:val="auto"/>
        </w:rPr>
        <w:t>Solei is a brand designed to embrace the bright Moments in your day. Solei’s Moments-based products help to make cannabis simple,</w:t>
      </w:r>
    </w:p>
    <w:p>
      <w:pPr>
        <w:spacing w:after="0" w:line="5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Cannabis</w:t>
      </w:r>
      <w:r>
        <w:rPr>
          <w:sz w:val="20"/>
          <w:szCs w:val="20"/>
          <w:color w:val="auto"/>
        </w:rPr>
        <w:tab/>
      </w:r>
      <w:r>
        <w:rPr>
          <w:rFonts w:ascii="Arial" w:cs="Arial" w:eastAsia="Arial" w:hAnsi="Arial"/>
          <w:sz w:val="18"/>
          <w:szCs w:val="18"/>
          <w:color w:val="auto"/>
        </w:rPr>
        <w:t>approachable and welcoming.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Solei</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ind w:left="1240" w:right="560" w:hanging="1234"/>
        <w:spacing w:after="0" w:line="281" w:lineRule="auto"/>
        <w:rPr>
          <w:sz w:val="20"/>
          <w:szCs w:val="20"/>
          <w:color w:val="auto"/>
        </w:rPr>
      </w:pPr>
      <w:r>
        <w:rPr>
          <w:rFonts w:ascii="Arial" w:cs="Arial" w:eastAsia="Arial" w:hAnsi="Arial"/>
          <w:sz w:val="18"/>
          <w:szCs w:val="18"/>
          <w:b w:val="1"/>
          <w:bCs w:val="1"/>
          <w:color w:val="auto"/>
        </w:rPr>
        <w:t xml:space="preserve">Chowie Wowie </w:t>
      </w:r>
      <w:r>
        <w:rPr>
          <w:rFonts w:ascii="Arial" w:cs="Arial" w:eastAsia="Arial" w:hAnsi="Arial"/>
          <w:sz w:val="18"/>
          <w:szCs w:val="18"/>
          <w:color w:val="auto"/>
        </w:rPr>
        <w:t>An edibles’ brand bringing the ‘wow’ with perfectly crafted fusions of flavor offered in an array of reliably dosed cannabis-infused</w:t>
      </w:r>
      <w:r>
        <w:rPr>
          <w:rFonts w:ascii="Arial" w:cs="Arial" w:eastAsia="Arial" w:hAnsi="Arial"/>
          <w:sz w:val="18"/>
          <w:szCs w:val="18"/>
          <w:b w:val="1"/>
          <w:bCs w:val="1"/>
          <w:color w:val="auto"/>
        </w:rPr>
        <w:t xml:space="preserve"> </w:t>
      </w:r>
      <w:r>
        <w:rPr>
          <w:rFonts w:ascii="Arial" w:cs="Arial" w:eastAsia="Arial" w:hAnsi="Arial"/>
          <w:sz w:val="18"/>
          <w:szCs w:val="18"/>
          <w:color w:val="auto"/>
        </w:rPr>
        <w:t>chocolates and gummies in THC and CBD varieties.</w:t>
      </w:r>
    </w:p>
    <w:p>
      <w:pPr>
        <w:sectPr>
          <w:pgSz w:w="11900" w:h="16838" w:orient="portrait"/>
          <w:cols w:equalWidth="0" w:num="1">
            <w:col w:w="11240"/>
          </w:cols>
          <w:pgMar w:left="320" w:top="584"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Canaca</w:t>
      </w:r>
    </w:p>
    <w:p>
      <w:pPr>
        <w:spacing w:after="0" w:line="20" w:lineRule="exact"/>
        <w:rPr>
          <w:sz w:val="20"/>
          <w:szCs w:val="20"/>
          <w:color w:val="auto"/>
        </w:rPr>
      </w:pPr>
      <w:r>
        <w:rPr>
          <w:sz w:val="20"/>
          <w:szCs w:val="20"/>
          <w:color w:val="auto"/>
        </w:rPr>
        <w:br w:type="column"/>
      </w:r>
    </w:p>
    <w:p>
      <w:pPr>
        <w:ind w:right="260"/>
        <w:spacing w:after="0" w:line="263" w:lineRule="auto"/>
        <w:rPr>
          <w:sz w:val="20"/>
          <w:szCs w:val="20"/>
          <w:color w:val="auto"/>
        </w:rPr>
      </w:pPr>
      <w:r>
        <w:rPr>
          <w:rFonts w:ascii="Arial" w:cs="Arial" w:eastAsia="Arial" w:hAnsi="Arial"/>
          <w:sz w:val="18"/>
          <w:szCs w:val="18"/>
          <w:color w:val="auto"/>
        </w:rPr>
        <w:t>A brand that proudly builds on its homegrown heritage with cannabis whole flower, pre-rolls, oil products and pure cannabis vapes handcrafted by and for Canadian cannabis enthusiasts. Our plants are sourced in BC and expertly cultivated in Ontario for homegrown, down-to-earth quality that’s enjoyed across Canada.</w:t>
      </w:r>
    </w:p>
    <w:p>
      <w:pPr>
        <w:spacing w:after="0" w:line="18" w:lineRule="exact"/>
        <w:rPr>
          <w:sz w:val="20"/>
          <w:szCs w:val="20"/>
          <w:color w:val="auto"/>
        </w:rPr>
      </w:pPr>
    </w:p>
    <w:p>
      <w:pPr>
        <w:sectPr>
          <w:pgSz w:w="11900" w:h="16838" w:orient="portrait"/>
          <w:cols w:equalWidth="0" w:num="2">
            <w:col w:w="580" w:space="660"/>
            <w:col w:w="10000"/>
          </w:cols>
          <w:pgMar w:left="320" w:top="5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PREMIUM BRANDS</w:t>
      </w:r>
    </w:p>
    <w:p>
      <w:pPr>
        <w:sectPr>
          <w:pgSz w:w="11900" w:h="16838" w:orient="portrait"/>
          <w:cols w:equalWidth="0" w:num="1">
            <w:col w:w="11240"/>
          </w:cols>
          <w:pgMar w:left="320" w:top="584"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RIFF</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RIFF is not your conventional cannabis brand. It is a brand by creatives for creatives. An unconventional brand, fueled by creativity and collaboration</w:t>
      </w:r>
    </w:p>
    <w:p>
      <w:pPr>
        <w:spacing w:after="0" w:line="4" w:lineRule="exact"/>
        <w:rPr>
          <w:sz w:val="20"/>
          <w:szCs w:val="20"/>
          <w:color w:val="auto"/>
        </w:rPr>
      </w:pPr>
    </w:p>
    <w:p>
      <w:pPr>
        <w:sectPr>
          <w:pgSz w:w="11900" w:h="16838" w:orient="portrait"/>
          <w:cols w:equalWidth="0" w:num="2">
            <w:col w:w="520" w:space="720"/>
            <w:col w:w="10000"/>
          </w:cols>
          <w:pgMar w:left="320" w:top="5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PREMIUM + BRANDS</w:t>
      </w:r>
    </w:p>
    <w:p>
      <w:pPr>
        <w:sectPr>
          <w:pgSz w:w="11900" w:h="16838" w:orient="portrait"/>
          <w:cols w:equalWidth="0" w:num="1">
            <w:col w:w="11240"/>
          </w:cols>
          <w:pgMar w:left="320" w:top="584" w:right="339" w:bottom="1440" w:gutter="0" w:footer="0" w:header="0"/>
          <w:type w:val="continuous"/>
        </w:sectPr>
      </w:pPr>
    </w:p>
    <w:p>
      <w:pPr>
        <w:spacing w:after="0" w:line="63" w:lineRule="exact"/>
        <w:rPr>
          <w:sz w:val="20"/>
          <w:szCs w:val="20"/>
          <w:color w:val="auto"/>
        </w:rPr>
      </w:pPr>
    </w:p>
    <w:p>
      <w:pPr>
        <w:ind w:left="1240" w:right="480" w:hanging="1234"/>
        <w:spacing w:after="0" w:line="277" w:lineRule="auto"/>
        <w:tabs>
          <w:tab w:leader="none" w:pos="1220" w:val="left"/>
        </w:tabs>
        <w:rPr>
          <w:sz w:val="20"/>
          <w:szCs w:val="20"/>
          <w:color w:val="auto"/>
        </w:rPr>
      </w:pPr>
      <w:r>
        <w:rPr>
          <w:rFonts w:ascii="Arial" w:cs="Arial" w:eastAsia="Arial" w:hAnsi="Arial"/>
          <w:sz w:val="18"/>
          <w:szCs w:val="18"/>
          <w:b w:val="1"/>
          <w:bCs w:val="1"/>
          <w:color w:val="auto"/>
        </w:rPr>
        <w:t>Broken Coast</w:t>
      </w:r>
      <w:r>
        <w:rPr>
          <w:sz w:val="20"/>
          <w:szCs w:val="20"/>
          <w:color w:val="auto"/>
        </w:rPr>
        <w:tab/>
      </w:r>
      <w:r>
        <w:rPr>
          <w:rFonts w:ascii="Arial" w:cs="Arial" w:eastAsia="Arial" w:hAnsi="Arial"/>
          <w:sz w:val="18"/>
          <w:szCs w:val="18"/>
          <w:color w:val="auto"/>
        </w:rPr>
        <w:t>West Coast, Naturally. Broken Coast relies on small batch growing techniques / craft approach with a reputation for its high-quality flower, aroma, bud composition, and heavy trichome appearance that delivers an incredible experience.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Wellness Brands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Tilray Wellness segment primarily consists of the Manitoba Harvest branded hemp-based food business, which develops, manufactures, markets and distributes a diverse portfolio of hemp-based food and wellness products under various brands, which include Manitoba Harvest, Hemp Yeah!, Just Hemp Foods, and Happy Flower. Manitoba Harvest products are sold in major retailers across the U.S. and Canada.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Beverage Alcohol and Spirits Brands</w:t>
      </w:r>
    </w:p>
    <w:p>
      <w:pPr>
        <w:spacing w:after="0" w:line="225" w:lineRule="exact"/>
        <w:rPr>
          <w:sz w:val="20"/>
          <w:szCs w:val="20"/>
          <w:color w:val="auto"/>
        </w:rPr>
      </w:pPr>
    </w:p>
    <w:p>
      <w:pPr>
        <w:jc w:val="both"/>
        <w:ind w:left="160" w:firstLine="648"/>
        <w:spacing w:after="0" w:line="272" w:lineRule="auto"/>
        <w:rPr>
          <w:sz w:val="20"/>
          <w:szCs w:val="20"/>
          <w:color w:val="auto"/>
        </w:rPr>
      </w:pPr>
      <w:r>
        <w:rPr>
          <w:rFonts w:ascii="Arial" w:cs="Arial" w:eastAsia="Arial" w:hAnsi="Arial"/>
          <w:sz w:val="17"/>
          <w:szCs w:val="17"/>
          <w:color w:val="auto"/>
        </w:rPr>
        <w:t>We are also a major player in the craft alcohol and beverage business through SW Brewing Company, LLC (“SweetWater”), the 9th largest craft brewery in the United States according to the Brewers Association. Founded in 1997, SweetWater has broad consumer appeal and has established strong distribution across the United States. From its state-of-the-art breweries in Atlanta, Georgia and Colorado, SweetWater produces a balanced variety of year-round and seasonal specialty craft brews, under the SweetWater Green Flash, Alpine and Montauk brands. The Company also operates in the craft spirits businesses through Breckenridge Distillery, which was founded in 2008 as a small craft spirits brand in Breckenridge, Colorado but has since grown its award-winning bourbon whiskey collection and innovative craft spirits portfolio to be distributed in all 50 states in addition to owning two tasting rooms/retail shops and a world class restaurant.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1" w:name="page12"/>
    <w:bookmarkEnd w:id="11"/>
    <w:p>
      <w:pPr>
        <w:ind w:left="800"/>
        <w:spacing w:after="0"/>
        <w:rPr>
          <w:sz w:val="20"/>
          <w:szCs w:val="20"/>
          <w:color w:val="auto"/>
        </w:rPr>
      </w:pPr>
      <w:r>
        <w:rPr>
          <w:rFonts w:ascii="Arial" w:cs="Arial" w:eastAsia="Arial" w:hAnsi="Arial"/>
          <w:sz w:val="18"/>
          <w:szCs w:val="18"/>
          <w:color w:val="auto"/>
        </w:rPr>
        <w:t>Our beverage alcohol brands include:</w:t>
      </w:r>
    </w:p>
    <w:p>
      <w:pPr>
        <w:spacing w:after="0" w:line="221" w:lineRule="exact"/>
        <w:rPr>
          <w:sz w:val="20"/>
          <w:szCs w:val="20"/>
          <w:color w:val="auto"/>
        </w:rPr>
      </w:pPr>
    </w:p>
    <w:p>
      <w:pPr>
        <w:jc w:val="both"/>
        <w:ind w:left="980" w:hanging="324"/>
        <w:spacing w:after="0" w:line="271"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SweetWater </w:t>
      </w:r>
      <w:r>
        <w:rPr>
          <w:rFonts w:ascii="Arial" w:cs="Arial" w:eastAsia="Arial" w:hAnsi="Arial"/>
          <w:sz w:val="17"/>
          <w:szCs w:val="17"/>
          <w:color w:val="auto"/>
        </w:rPr>
        <w:t>– The 9th largest craft brewery in the United States according to the Brewers Association has created an award-winning lineup</w:t>
      </w:r>
      <w:r>
        <w:rPr>
          <w:rFonts w:ascii="Arial" w:cs="Arial" w:eastAsia="Arial" w:hAnsi="Arial"/>
          <w:sz w:val="17"/>
          <w:szCs w:val="17"/>
          <w:b w:val="1"/>
          <w:bCs w:val="1"/>
          <w:color w:val="auto"/>
        </w:rPr>
        <w:t xml:space="preserve"> </w:t>
      </w:r>
      <w:r>
        <w:rPr>
          <w:rFonts w:ascii="Arial" w:cs="Arial" w:eastAsia="Arial" w:hAnsi="Arial"/>
          <w:sz w:val="17"/>
          <w:szCs w:val="17"/>
          <w:color w:val="auto"/>
        </w:rPr>
        <w:t>of year-round, seasonal and specialty beers under a portfolio of brands closely aligned with a cannabis lifestyle, which include the flagship 420 alcoholic beverage offerings, its SweetWater Spirits, a new collection of bright and refreshing ready-to-drink mixed cocktails in a can and our newest innovation SweetWater Gummies, a fruit forward 9.5% ABV of refreshing double IPA. We believe the SweetWater product offerings, including the new Red White and Blue American Lager resonate across all consumer’s that want to drink flavorful and refreshing products and that it will be a staple at backyard barbecues, tailgates, and get-togethers. We also continue to be innovative with our 420 Strain G13 IPA, which plays a critical role in our portfolio and resonates as a cannabis lifestyle brand. SweetWater’s various 420 strains of craft brews use plant-based terpenes and natural hemp flavors that, when combined with select hops, emulate the flavors and aromas of popular cannabis strains to appeal to a loyal consumer base.</w:t>
      </w:r>
    </w:p>
    <w:p>
      <w:pPr>
        <w:spacing w:after="0" w:line="173" w:lineRule="exact"/>
        <w:rPr>
          <w:rFonts w:ascii="Arial" w:cs="Arial" w:eastAsia="Arial" w:hAnsi="Arial"/>
          <w:sz w:val="17"/>
          <w:szCs w:val="17"/>
          <w:color w:val="auto"/>
        </w:rPr>
      </w:pPr>
    </w:p>
    <w:p>
      <w:pPr>
        <w:jc w:val="both"/>
        <w:ind w:left="980" w:hanging="324"/>
        <w:spacing w:after="0" w:line="26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Breckenridge Distillery </w:t>
      </w:r>
      <w:r>
        <w:rPr>
          <w:rFonts w:ascii="Arial" w:cs="Arial" w:eastAsia="Arial" w:hAnsi="Arial"/>
          <w:sz w:val="18"/>
          <w:szCs w:val="18"/>
          <w:color w:val="auto"/>
        </w:rPr>
        <w:t>– A highly sought-after and award-winning brand widely known for its blended bourbon whiskey and its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artisanal spirits including vodka and gin that brings to life the best that Colorado has to offer. Breckenridge continues to be one of the most awarded craft distilleries in the U.S.</w:t>
      </w:r>
    </w:p>
    <w:p>
      <w:pPr>
        <w:spacing w:after="0" w:line="175" w:lineRule="exact"/>
        <w:rPr>
          <w:rFonts w:ascii="Arial" w:cs="Arial" w:eastAsia="Arial" w:hAnsi="Arial"/>
          <w:sz w:val="18"/>
          <w:szCs w:val="18"/>
          <w:color w:val="auto"/>
        </w:rPr>
      </w:pPr>
    </w:p>
    <w:p>
      <w:pPr>
        <w:jc w:val="both"/>
        <w:ind w:left="980" w:hanging="324"/>
        <w:spacing w:after="0" w:line="289"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Alpine Beer Company </w:t>
      </w:r>
      <w:r>
        <w:rPr>
          <w:rFonts w:ascii="Arial" w:cs="Arial" w:eastAsia="Arial" w:hAnsi="Arial"/>
          <w:sz w:val="17"/>
          <w:szCs w:val="17"/>
          <w:color w:val="auto"/>
        </w:rPr>
        <w:t>– An award-winning craft brand founded in 1999, and is rated a top 50 brand in the United States with highly-rated</w:t>
      </w:r>
      <w:r>
        <w:rPr>
          <w:rFonts w:ascii="Arial" w:cs="Arial" w:eastAsia="Arial" w:hAnsi="Arial"/>
          <w:sz w:val="17"/>
          <w:szCs w:val="17"/>
          <w:b w:val="1"/>
          <w:bCs w:val="1"/>
          <w:color w:val="auto"/>
        </w:rPr>
        <w:t xml:space="preserve"> </w:t>
      </w:r>
      <w:r>
        <w:rPr>
          <w:rFonts w:ascii="Arial" w:cs="Arial" w:eastAsia="Arial" w:hAnsi="Arial"/>
          <w:sz w:val="17"/>
          <w:szCs w:val="17"/>
          <w:color w:val="auto"/>
        </w:rPr>
        <w:t>favorites including Nelson IPA and Duet IPA. We recently launched Infinite Haze, a brilliant Hazy IPA bursting with endless aromas of citrus and sweet, tropical fruits which complement our existing product offerings that make up our highly acclaimed year-round lineup.</w:t>
      </w:r>
    </w:p>
    <w:p>
      <w:pPr>
        <w:spacing w:after="0" w:line="157" w:lineRule="exact"/>
        <w:rPr>
          <w:rFonts w:ascii="Arial" w:cs="Arial" w:eastAsia="Arial" w:hAnsi="Arial"/>
          <w:sz w:val="17"/>
          <w:szCs w:val="17"/>
          <w:color w:val="auto"/>
        </w:rPr>
      </w:pPr>
    </w:p>
    <w:p>
      <w:pPr>
        <w:jc w:val="both"/>
        <w:ind w:left="980" w:hanging="324"/>
        <w:spacing w:after="0" w:line="303"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Green Flash </w:t>
      </w:r>
      <w:r>
        <w:rPr>
          <w:rFonts w:ascii="Arial" w:cs="Arial" w:eastAsia="Arial" w:hAnsi="Arial"/>
          <w:sz w:val="16"/>
          <w:szCs w:val="16"/>
          <w:color w:val="auto"/>
        </w:rPr>
        <w:t>– An award-winning, independently owned and operated craft brand founded in 2002 to bring fresh ideas and a sense of</w:t>
      </w:r>
      <w:r>
        <w:rPr>
          <w:rFonts w:ascii="Arial" w:cs="Arial" w:eastAsia="Arial" w:hAnsi="Arial"/>
          <w:sz w:val="16"/>
          <w:szCs w:val="16"/>
          <w:b w:val="1"/>
          <w:bCs w:val="1"/>
          <w:color w:val="auto"/>
        </w:rPr>
        <w:t xml:space="preserve"> </w:t>
      </w:r>
      <w:r>
        <w:rPr>
          <w:rFonts w:ascii="Arial" w:cs="Arial" w:eastAsia="Arial" w:hAnsi="Arial"/>
          <w:sz w:val="16"/>
          <w:szCs w:val="16"/>
          <w:color w:val="auto"/>
        </w:rPr>
        <w:t>adventure to craft beer. Green Flash delivers an eclectic lineup of specialty craft beers and distributes them throughout the west. Our staple brand, West Coast IPA, as well as our newly launched Hazy West Coast IPA, continue to excite consumers across the west coast. Green Flash has now created a variety 12-pack that takes the best of the west and the east to make an exciting and adventurous consumer experience.</w:t>
      </w:r>
    </w:p>
    <w:p>
      <w:pPr>
        <w:spacing w:after="0" w:line="150" w:lineRule="exact"/>
        <w:rPr>
          <w:rFonts w:ascii="Arial" w:cs="Arial" w:eastAsia="Arial" w:hAnsi="Arial"/>
          <w:sz w:val="16"/>
          <w:szCs w:val="16"/>
          <w:color w:val="auto"/>
        </w:rPr>
      </w:pPr>
    </w:p>
    <w:p>
      <w:pPr>
        <w:jc w:val="both"/>
        <w:ind w:left="980" w:hanging="324"/>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Montauk </w:t>
      </w:r>
      <w:r>
        <w:rPr>
          <w:rFonts w:ascii="Arial" w:cs="Arial" w:eastAsia="Arial" w:hAnsi="Arial"/>
          <w:sz w:val="18"/>
          <w:szCs w:val="18"/>
          <w:color w:val="auto"/>
        </w:rPr>
        <w:t>– As the #1 craft brewer in Metro New York. Montauk is well-known for its beloved product portfolio, premium price point,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across over 6,400 points of distribution. Wave Chaser IPA is a staple of Montauk and has expanded into The Surf Beer, a Golden Ale, Tropical IPA, Juicy IPA and Eastern Haze a Hazy IPA. We have also launched Project 4:20, a terpene flavored beer with earthy aromas which is focused on giving back to local green charities. Montauk’s brand reach has predominantly been in New York City, Long Island, and northern New Jersey, but has now been expanded into Connecticut, Rhode Island, Upstate New York, Pennsylvania and the remainder of New Jersey.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our cannabis reporting segment, we have invested in state-of-the-art facilities and infrastructure, and we believe that we maintain some of the highest-quality, lowest cost cannabis production operations in Canada, with the scale and distribution network that differentiates us from our competitors in the industry. We also made significant investments in our operations within Europe and we are well-positioned to pursue international growth opportunities with our strong medical cannabis brands, distribution network in Germany, and end-to-end European Union Good Manufacturing Practices (“EU-GMP”) supply chain, which includes EU-GMP production facilities in Portugal and Germany. We seek to continue to invest in the expansion of our global supply chain to address the unmet needs of patients around the world.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maintain key international operations in Portugal, Germany, Italy, United Kingdom, Australia, New Zealand and Argentina as well as strategic relationships in Denmark, Luxembourg and Poland. In establishing our international footprint, we sought to create operational hubs in those continents where we identified the biggest opportunities for growth and designed our operations to ensure consistent, high-quality supply of cannabis products as well as a distribution network. While these markets are still at various stages of development, and the regulatory environment around them is either newly formed or still being formed, we are uniquely positioned to bring the knowledge and expertise gained in Canada and leverage our operational footprint in order to generate profitable growth in these geographies.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In beverage alcohol, we have state-of-the-art breweries in Atlanta, Georgia, Fort Collins, Colorado and New York from which SweetWater and Montauk produce a balanced variety of year-round and seasonal specialty craft brews under the SweetWater, Alpine, Green Flash and Montauk brands as well as Breckenridge Distillery, the world’s highest distillery, located in Breckenridge, Colorado. Most recently, the Company entered into a new partnership with Mercedes-Benz Stadium and is opening two new SweetWater branded bars at Atlanta’s premier sports and entertainment venue, which is home to the NFL’s Atlanta Falcons and Atlanta United of Major League Soccer.</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Lastly, in Wellness, we own two BRC accredited facilities located in Manitoba, Canada that are dedicated to hemp processing and packaging Manitoba Harvest, Just Hemp Foods, and Hemp Yeah! Branded products including hulled hemp seeds, hemp oil, and hemp protein.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Adult-use Market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Canadian legislative regime, provincial, territorial and municipal governments have the authority to prescribe regulations regarding retail and distribution of adult-use cannabis. As such, the distribution model for adult-use cannabis is prescribed by provincial regulations and differs from province to province. Some provinces utilize government run retailers, while others utilize government-licensed private retailers, and some a combination of the two. All of our adult-use sales are conducted according to the applicable provincial and territorial legislation and through applicable local agencies.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our subsidiaries, Aphria and High Park Holdings Ltd. (“High Park”), we maintain supply agreements for adult-use cannabis with all the provinces and territories in Canada.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Tilray is party to a distribution agreement with Great North Distributors to provide sales force and wholesale/retail channel expertise required to efficiently distribute our adult-use products through each of the provincial/territorial cannabis control agencies, excluding Quebec. We also engage Rose Life Sciences Ltd. as our sale agent exclusively for the Province of Quebec, representing our entire brand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Medical Market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Canada, Tilray Medical operates a direct to patient distribution model and online platform for patients to effectively and efficiently manage the process of registering and ordering medical products from Tilray Medical’s full portfolio of medical brands including Tilray, Aphria, Broken Coast, Symbios and Charlotte's Web</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Medical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Tilray Medical currently offers broad access to medical cannabis products in legal medical markets across Europe, Australia, New Zealand and Latin America. Our global portfolio of medical cannabis products includes high-quality and GMP-certified flower and extracts. Through our various subsidiaries and partnerships with distributors, our medical products are available to patients in 21 countries on 5 continents, which include the following international distribution channels:</w:t>
      </w:r>
    </w:p>
    <w:p>
      <w:pPr>
        <w:spacing w:after="0" w:line="187"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CC Pharma, our wholly-owned subsidiary, is a leading importer and distributor of pharmaceuticals for the German market and we are leveraging its distribution network in Germany for medical cannabis.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are also distributed by multiple wholesalers and directly to pharmacies in Germany. As a result, we are able to fulfill prescriptions for our medical cannabis products throughout Germany.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import and distribute compliant medical cannabis products into other international markets, including Italy, Poland, Czech Republic, Switzerland, United Kingdom, Portugal, Croatia, Malta, Ireland and Luxembourg.</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Argentina, ABP, S.A., our wholly-owned subsidiary, distributes medical cannabis throughout Argentina under the Argentinian “Compassionate Use” national law, which allows patients with refractory epilepsy, holding a medical prescription from a neurologist, to apply for special access to imported medical cannabis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Canada, we are authorized to sell wholesale bulk and finished cannabis products to other licensees under the Cannabis Regulations. The bulk wholesale sales and distribution channel requires minimal selling, administrative, and fulfillment costs. Our focus on the right strain assortment, quality of flower, extraction capabilities and processing, enables us to drive wholesale channel opportunities for revenue growth.</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Changes in the Canadian market continue to result in more competitors moving towards an asset light model through the rationalization of cultivation facilities. As this transition occurs, the Company anticipates demand for its saleable flower to increase, providing new opportunities in the wholesale channel.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intend to expand our capabilities outside of saleable flower, as our quality of extraction processes continue to grow into new categories including the latest in cannabis 3.0 products. We plan to be selective in choosing partners, with the intent to secure supply agreements to further optimize and drive efficiency within our supply chain and operations. While we intend to pursue wholesale sales channels as part of our growth strategies in Canada, these sales will continue to be used to aid in balancing inventory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 Sales and Distribution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wellness sales consist of hemp and other hemp-based food products, which are sold to retailers, wholesalers, and direct to consumers. We are a leading provider of hemp seeds and related food products that are sold in over 21,000 retail locations in the United States and Canada and available globally in 18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Alcohol Sales and Distribution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U.S., our craft beer, including SweetWater, Alpine, Green Flash and Montauk, are distributed under a three-tier model utilized for beverage alcohol. Distribution points include approximately 29,000 off-premises retail locations ranging from independent bottle shops to national chains. SweetWater’s significant on-premises business allows consumers to enjoy its varietals in more than 10,000 restaurants and bars. Further, in addition to its traditional distribution footprint, SweetWater Elevated HAZY IPA and 420 Strain series are served on all Delta Air Lines flights nationwide plus internationally, totaling more than 50 countries across six continents which have served to extend SweetWater’s brand reach on both a national and international level. The Company supplements this distribution with Delta Air Lines through a kiosk in Atlanta’s Hartsfield-Jackson Airport and secured access to distribute through an on-premises location at the Denver International Airport. SweetWater is also available in Canada through limited distribution within Ontario and Quebec. Montauk is distributed across over 6,400 points of distribution, including many of the top national retailers. In addition, our craft spirit brands from Breckenridge are distributed in all 50-states, and in two on-premises tasting and retail store locations. Breckenridge is also distributed in 8 different countries, including Canada, Germany, UK, Macau, Australia, New Zealand, and Singapore, with the intention of further expanding our international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Medical and Adult-Use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Medical and adult-use cannabis in Canada is regulated under the federal </w:t>
      </w:r>
      <w:r>
        <w:rPr>
          <w:rFonts w:ascii="Arial" w:cs="Arial" w:eastAsia="Arial" w:hAnsi="Arial"/>
          <w:sz w:val="16"/>
          <w:szCs w:val="16"/>
          <w:i w:val="1"/>
          <w:iCs w:val="1"/>
          <w:color w:val="auto"/>
        </w:rPr>
        <w:t>Cannabis Act</w:t>
      </w:r>
      <w:r>
        <w:rPr>
          <w:rFonts w:ascii="Arial" w:cs="Arial" w:eastAsia="Arial" w:hAnsi="Arial"/>
          <w:sz w:val="16"/>
          <w:szCs w:val="16"/>
          <w:color w:val="auto"/>
        </w:rPr>
        <w:t xml:space="preserve"> (Canada) (the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spacing w:after="0" w:line="149"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federal license is required for companies to cultivate, process and sell cannabis for medical or non-medical purposes. Health Canada, a federal government entity, is the oversight and regulatory body for cannabis licenses in Canada;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allows individuals to purchase, possess and cultivate limited amounts of cannabis for medical purposes and, for individuals over the age of 18 years, for adult-use recreational purposes;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promotion, packaging and labelling of cannabis is strictly regulated. For example, promotion is largely restricted to the place of sale and age-gated environments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environments with verification measures in place to restrict access to persons of legal age). Promotions that appeal to underage individuals are prohibited;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the current federal regime came into force on October 17, 2018, certain classes of cannabis, including dried cannabis and oils, have been permitted for sale into the medical and adult-use markets;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is restricted to medical cannabis, cannabis for scientific purposes, and industrial hemp;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 of medical cannabis occurs on a direct-to-patient basis from a federally licensed provider, while sale of adult-use cannabis occurs through retail-distribution models established by provincial and territorial governments.</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spacing w:after="0" w:line="12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Quebec, New Brunswick, Nova Scotia and Prince Edward Island adopted a government-run model for retail and distribution;</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Ontario, British Columbia, Alberta, and Newfoundland and Labrador adopted a hybrid model with some aspects, including distribution and online retail being government-run while allowing for private licensed retail stores;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Manitoba and Saskatchewan adopted a private model, with privately-run retail stores and online sales, with distribution in Manitoba managed by the provincial government;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three northern territories of Yukon, Northwest Territories and Nunavut adopted a model that mirrors their government-run liquor distribution model.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cannabis industry is subject to substantial federal and provincial excise taxes. Excise taxes may be increased in the future by the federal or any provincial government or both.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 of Hemp-Based CBD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Hemp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CBD. Hemp, as defined in the Agriculture Improvement Act of 2018 (the “2018 Farm Bill”), is distinguishable from marijuana, which also comes from the Cannabis sativa L. subspecies, by its absence of more than trace amounts (0.3% or less) of the psychoactive compound THC.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ind w:firstLine="648"/>
        <w:spacing w:after="0" w:line="272" w:lineRule="auto"/>
        <w:rPr>
          <w:sz w:val="20"/>
          <w:szCs w:val="20"/>
          <w:color w:val="auto"/>
        </w:rPr>
      </w:pPr>
      <w:r>
        <w:rPr>
          <w:rFonts w:ascii="Arial" w:cs="Arial" w:eastAsia="Arial" w:hAnsi="Arial"/>
          <w:sz w:val="17"/>
          <w:szCs w:val="17"/>
          <w:color w:val="auto"/>
        </w:rPr>
        <w:t>The 2018 Farm Bill preserves the authority and jurisdiction of the Food and Drug Administration (the “FDA”), under the Food Drug &amp; Cosmetic Act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The 2018 Farm Bill has also enabled production of hemp seed in the U.S. and the FDA approved these products for sale as a food by acknowledging them as GRAS (Generally Recognized as Safe). As a producer and marketer of Hemp-derived products and hemp seed-derived food products, the Company must comply with the FDA regulations applicable to manufacturing and marketing of certain products, including food, dietary supplements, and cosmetics.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2018 Farm Bill, federal law dictates that CBD derived from Hemp is not a controlled substance; however, CBD derived from Hemp may still be considered a controlled substance under applicable state law. Individual states take varying approaches to regulating the production and sale of Hemp and Hemp-derived CBD. Some states explicitly authorize and regulate the production and sale of Hemp-derived CBD or otherwise provide legal protection for authorized individuals to engage in commercial Hemp activities. Other states, however, maintain drug laws that do not distinguish between marijuana and Hemp and/or Hemp-derived CBD which results in Hemp being classified as a controlled substance under certain state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Medical Use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each country in the European Union (“EU”) has its own laws and regulations, many common practices are being adopted relative to the developing and growing medical cannabis market. For example, to ensure quality and safe products for patients, many EU countries only permit the import and sale of medical cannabis from EU-GMP certified manufacturers.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EU requires adherence to EU-GMP standards for the manufacture of active substances and medicinal products, including cannabis products. The EU system for certification of GMP allows a Competent Authority of any EU member state to conduct inspections of manufacturing sites and, if the strict EU-GMP standards are met, to issue a certificate of EU-GMP compliance that is also accepted in other EU member countries.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Craft Brewing in the United States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alcoholic beverage industry in the United States is regulated by federal, state and local governments. These regulations govern the production, sale and distribution of alcoholic beverages, including permitting, licensing, marketing and advertising. To operate their production facilities, SweetWater and Breckenridge must obtain and maintain numerous permits, licenses and approvals from various governmental agencies, including but not limited to, the Alcohol and Tobacco Tax and Trade Bureau (the “TTB”), the FDA, state alcohol regulatory agencies and state and federal environmental agencies. Our brewery operations are subject to audit and inspection by the TTB at any time.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alcohol industry is subject to substantial federal and state excise taxes. Excise taxes may be increased in the future by the federal government or any state government or both. In the past, increases in excise taxes on alcoholic beverages have been considered in connection with various governmental budget-balancing or funding proposals.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cannabis, brewing and spirits operations are subject to a variety of federal, state and local environmental laws and regulations and local permitting requirements and agreements regarding, among other things, the maintenance of air and water quality standards and land reclamation. They also set forth limitations on the generation, transportation, storage and disposal of hazardous waste. In addition, any new products introduced by us are subject to a comprehensive environmental assessment by an independent third-party expert, including an assessment of how such products may create environmental risks.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have no reason to believe the operation of our facilities violates any such regulation or requirement, including the Clean Air Act, the Clean Water Act and the Resource Conservation and Recovery Act, environmental regulation is evolving in a manner which may require stricter standards and enforcement, increased fines and penalties for non-compliance, more stringent environmental assessments of proposed projects and a heightened degree of responsibility for companies and their officers, directors and employees. If a violation were to occur, or if environmental regulations were to become more stringent in the future, we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Competitive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continue to face intense competition from the illicit market as well as other companies, some of which may have longer operating histories and more financial resources and manufacturing and marketing experience. With potential consolidation in the cannabis industry, we could face increased competition by larger and better financed competitors.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Growers of cannabis and retailers operating in the illicit market continue to hold significant market share in Canada and are effectively competitors to our business. Illicit market participants divert customers away through product offering, price point, anonymity and convenience.</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Outdoor cultivation also significantly reduces the barrier to entry by reducing the start-up capital required for new entrants in the cannabis industry. It may also ultimately lower prices as capital expenditure requirements related to growing outside are typically much lower than those associated with indoor growing. Further, the licensed outdoor cultivation capacity is extremely large. While outdoor cultivation is almost exclusively extraction grade, its presence in the market will have a negative effect on pricing of extraction grade wholesale cannabis.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May 31, 2023, Health Canada has issued approximately 980 active licenses to cannabis cultivators, processors and sellers. Health Canada licenses are limited to individual properties. As such, if a licensed producer seeks to commence production at a new site, it must apply to Health Canada for a new license. As of May 31, 2023, approximately 3,700 authorized retail cannabis stores have opened across Canada. As demand for 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spacing w:after="0" w:line="17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Competition is also based on product innovation, product quality, price, brand recognition and loyalty, effectiveness of marketing and promotional activity, the ability to identify and satisfy consumer preferences, as well as convenience and service.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Internationally, cannabis companies are limited to those countries which have legalized aspects of the cultivation, distribution, sale or use of cannabis. We focused on developing assets in certain strategic international jurisdictions, which maintain legalized aspects of the cannabis business. We possess operational hubs in continents with significant growth opportunities and the production capability and distribution network to distribute such products throughout the region served by each hub. The barrier to entry for competitors in these jurisdictions is significantly influenced by the national regulatory landscape with respect to cannabis and the economic climate subsisting in each region.</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Craft Brewing and Craft Distillery Markets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SweetWater, Montauk and Breckenridge, we compete in the craft brewing and distillery markets, respectively, as well as in the much larger alcohol beverage market, which encompasses domestic and imported beers, flavored alcohol beverages, spirits, wine, hard ciders and hard seltzers. With the proliferation of participants and offerings in the wider alcohol beverage market and within the craft beer and craft spirits segments, we face significant competition. There have also been numerous acquisitions and investments in craft brewers by larger breweries and private equity and other investors, which further intensified competition within the craft beer market.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craft beer and craft spirits markets are highly competitive, we believe that we possess certain competitive advantages. Our unique portfolio combines an award-winning lineup of craft beers and craft spirits with a unique portfolio of brands closely aligned with a cannabis lifestyle, and supported by state-of-the-art breweries and distilleries and strong distribution across the United States. Additionally, as domestic breweries and distillery, we maintain certain competitive advantages over imported beers and spirits, such as lower transportation costs, a lack of import charges and superior product freshness.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SweetWater’s and Montauk's sales of craft beer and Breckenridge’s sales of craft spirits generally reflect a degree of seasonality, with comparatively higher sales in the summer and the winter holiday season. Typically, the demand for cannabis and hemp-based products is fairly consistent throughout the calendar year, with an increase in the pre-roll cannabis category in the Canadian adult-use market during the summer months. Therefore, the results for any particular quarter may not be indicative of the results to be achieved for the full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Social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Tilray recognizes the importance of climate change and the potential risks it poses to our business and the environment. We are committed to playing our part in mitigating climate change by monitoring our greenhouse gas (GHG) emissions, minimizing our environmental footprint, and promoting sustainable practices within our operations. We understand that climate change presents both risks and opportunities to our business. As a global cannabis-lifestyle and consumer packaged goods company, we recognize that climate-related risks may include changing weather patterns, water scarcity, and regulatory developments related to emissions and energy consumption. These risks can affect our supply chain, cultivation processes, and distribution networks, potentially impacting our financial performance. On the other hand, we see opportunities in adopting sustainable practices, developing innovative solutions, and embracing renewable energy sources. By proactively managing climate-related risks and identifying opportunities, we aim to enhance our resilience, reduce costs, and create long-term value for our shareholders. As such, the Company has implemented several initiatives to address climate change and promote sustainability across our operations which include:</w:t>
      </w:r>
    </w:p>
    <w:p>
      <w:pPr>
        <w:spacing w:after="0" w:line="181" w:lineRule="exact"/>
        <w:rPr>
          <w:sz w:val="20"/>
          <w:szCs w:val="20"/>
          <w:color w:val="auto"/>
        </w:rPr>
      </w:pPr>
    </w:p>
    <w:p>
      <w:pPr>
        <w:ind w:left="1140" w:hanging="484"/>
        <w:spacing w:after="0" w:line="25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GHG Emissions Monitoring: We are committed to monitoring our GHG emissions by assessing energy-efficient technologies, optimizing transportation logistics, and monitoring our energy consumption.</w:t>
      </w:r>
    </w:p>
    <w:p>
      <w:pPr>
        <w:spacing w:after="0" w:line="1"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Sustainability: We are working closely with our suppliers to encourage innovative solutions to improve our environmental footprint. This includes assessing suppliers' environmental performance, promoting responsible sourcing, and supporting initiatives that enhance sustainability throughout the value chain. Specifically, in our Cannabis business we recently adopted the use of biodegradable Hemp packaging on certain products to reduce the use of single-use plastics.</w:t>
      </w:r>
    </w:p>
    <w:p>
      <w:pPr>
        <w:spacing w:after="0" w:line="1" w:lineRule="exact"/>
        <w:rPr>
          <w:rFonts w:ascii="Arial" w:cs="Arial" w:eastAsia="Arial" w:hAnsi="Arial"/>
          <w:sz w:val="18"/>
          <w:szCs w:val="18"/>
          <w:color w:val="auto"/>
        </w:rPr>
      </w:pPr>
    </w:p>
    <w:p>
      <w:pPr>
        <w:ind w:left="1140" w:hanging="484"/>
        <w:spacing w:after="0" w:line="290" w:lineRule="auto"/>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Waste Management: We have implemented waste management programs to minimize waste generation and promote recycling and reuse. Through these efforts, we strive to reduce our environmental impact and contribute to the circular economy.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socially responsible corporation, Tilray recognizes the importance of addressing the social dimensions of our operations and their impact on various stakeholders. We actively engage with the communities in which we operate, understanding that our success is intertwined with their well-being. Through donations to the Erie Shores Community Hospital in Leamington, support to our Canadian veterans and other compassionate use cannabis programs, and donations from SweetWater to Ch8sing Waterfalls in Atlanta, a non-profit focused on empowering women of color, we aim to address local needs and contribute to social development. Additionally, the Company donated a substantial amount of medical supplies from our subsidiary CC Pharma, to the Ukraine to aid them during the existing conflict. We strive to help inspire and empower the worldwide community to live their very best life, and build long-lasting relationships based on trust and mutual benefit.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Commitments and Values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vision and purpose unite, inform and inspire our employees to apply their talents to make a positive difference. We foster a collaborative and dynamic work environment providing all employees with the opportunity to work cross-functionally and easily gain exposure to other teams’ diverse opinions and perspectives. We strive for every employee to reach their full potential and grow with Tilray.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continue to focus on developing a culture of compliance, which includes annual training for the Company's employees on applicable corporate policies, including our Code of Conduct, Insider Trading and Trading Window Policy, Corporate Governance Guidelines and Open Door Policy for Reporting Complaints Regarding Accounting and Auditing Matters.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firstLine="648"/>
        <w:spacing w:after="0" w:line="277" w:lineRule="auto"/>
        <w:rPr>
          <w:sz w:val="20"/>
          <w:szCs w:val="20"/>
          <w:color w:val="auto"/>
        </w:rPr>
      </w:pPr>
      <w:r>
        <w:rPr>
          <w:rFonts w:ascii="Arial" w:cs="Arial" w:eastAsia="Arial" w:hAnsi="Arial"/>
          <w:sz w:val="18"/>
          <w:szCs w:val="18"/>
          <w:color w:val="auto"/>
        </w:rPr>
        <w:t>In an emerging and constantly evolving industry, our values unite us, informing and inspiring the way we work with one another and our patients, consumers, customers and partners. The following core values serve as our compass in our strategic direction and decisions:</w:t>
      </w:r>
    </w:p>
    <w:p>
      <w:pPr>
        <w:spacing w:after="0" w:line="148"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foster a culture of openness, inclusivity and belonging;</w:t>
      </w:r>
    </w:p>
    <w:p>
      <w:pPr>
        <w:spacing w:after="0" w:line="206" w:lineRule="exact"/>
        <w:rPr>
          <w:rFonts w:ascii="Arial" w:cs="Arial" w:eastAsia="Arial" w:hAnsi="Arial"/>
          <w:sz w:val="22"/>
          <w:szCs w:val="22"/>
          <w:color w:val="auto"/>
        </w:rPr>
      </w:pPr>
    </w:p>
    <w:p>
      <w:pPr>
        <w:ind w:left="1140" w:hanging="484"/>
        <w:spacing w:after="0"/>
        <w:tabs>
          <w:tab w:leader="none" w:pos="11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continually set the bar higher for ourselves and are resilient and adaptive in the face of change;</w:t>
      </w:r>
    </w:p>
    <w:p>
      <w:pPr>
        <w:spacing w:after="0" w:line="206" w:lineRule="exact"/>
        <w:rPr>
          <w:rFonts w:ascii="Arial" w:cs="Arial" w:eastAsia="Arial" w:hAnsi="Arial"/>
          <w:sz w:val="22"/>
          <w:szCs w:val="22"/>
          <w:color w:val="auto"/>
        </w:rPr>
      </w:pPr>
    </w:p>
    <w:p>
      <w:pPr>
        <w:ind w:left="1140" w:hanging="484"/>
        <w:spacing w:after="0"/>
        <w:tabs>
          <w:tab w:leader="none" w:pos="11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make choices rooted in the belief that transparency, integrity &amp; accountability are at the core of all that we do; and</w:t>
      </w:r>
    </w:p>
    <w:p>
      <w:pPr>
        <w:spacing w:after="0" w:line="206" w:lineRule="exact"/>
        <w:rPr>
          <w:rFonts w:ascii="Arial" w:cs="Arial" w:eastAsia="Arial" w:hAnsi="Arial"/>
          <w:sz w:val="22"/>
          <w:szCs w:val="22"/>
          <w:color w:val="auto"/>
        </w:rPr>
      </w:pPr>
    </w:p>
    <w:p>
      <w:pPr>
        <w:ind w:left="1140" w:hanging="484"/>
        <w:spacing w:after="0"/>
        <w:tabs>
          <w:tab w:leader="none" w:pos="11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strive for excellence and are steadfast yet agile in the pursuit of our goals.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Tilray, we recognize that our people are our greatest asset, and we strive to create a workplace that fosters their growth, development, and wellbeing. As of May 31, 2023, we have approximately 1,600 employees worldwide. We consider relations with our employees to be good and have never experienced work stoppages. Aside from Portugal, none of our employees are represented by labor unions or are subject to collective bargaining agreements. As is common for most companies doing business in Portugal, we are subject to a government-mandated collective bargaining agreement which grants employees nominal additional benefits beyond those required by the local labor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human capital resource management approach is centered on the following key areas:</w:t>
      </w:r>
    </w:p>
    <w:p>
      <w:pPr>
        <w:spacing w:after="0" w:line="225" w:lineRule="exact"/>
        <w:rPr>
          <w:sz w:val="20"/>
          <w:szCs w:val="20"/>
          <w:color w:val="auto"/>
        </w:rPr>
      </w:pPr>
    </w:p>
    <w:p>
      <w:pPr>
        <w:jc w:val="both"/>
        <w:ind w:left="1140" w:hanging="484"/>
        <w:spacing w:after="0" w:line="255"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and Development. </w:t>
      </w:r>
      <w:r>
        <w:rPr>
          <w:rFonts w:ascii="Arial" w:cs="Arial" w:eastAsia="Arial" w:hAnsi="Arial"/>
          <w:sz w:val="18"/>
          <w:szCs w:val="18"/>
          <w:color w:val="auto"/>
        </w:rPr>
        <w:t>We have implemented a comprehensive talent acquisition and development program to attract, retain,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 our employees. This includes regular performance assessments, feedback mechanisms, and opportunities for skill-building and career advancement.</w:t>
      </w:r>
    </w:p>
    <w:p>
      <w:pPr>
        <w:spacing w:after="0" w:line="2"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Diversity and Inclusion</w:t>
      </w:r>
      <w:r>
        <w:rPr>
          <w:rFonts w:ascii="Arial" w:cs="Arial" w:eastAsia="Arial" w:hAnsi="Arial"/>
          <w:sz w:val="18"/>
          <w:szCs w:val="18"/>
          <w:color w:val="auto"/>
        </w:rPr>
        <w:t>. We are committed to creating a diverse and inclusive workplace, where all employees feel valued, respected,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We have globally mandated unconscious bias training, and are focused on setting strategies for increasing diversity, promoting inclusivity, and reducing biases across the organization. Diversity and inclusion is a priority for our company, and we seek out talented people from a variety of backgrounds to staff our teams in all our markets.</w:t>
      </w:r>
    </w:p>
    <w:p>
      <w:pPr>
        <w:spacing w:after="0" w:line="1" w:lineRule="exact"/>
        <w:rPr>
          <w:rFonts w:ascii="Arial" w:cs="Arial" w:eastAsia="Arial" w:hAnsi="Arial"/>
          <w:sz w:val="18"/>
          <w:szCs w:val="18"/>
          <w:color w:val="auto"/>
        </w:rPr>
      </w:pPr>
    </w:p>
    <w:p>
      <w:pPr>
        <w:ind w:left="1140" w:hanging="484"/>
        <w:spacing w:after="0" w:line="25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 and Safety. </w:t>
      </w:r>
      <w:r>
        <w:rPr>
          <w:rFonts w:ascii="Arial" w:cs="Arial" w:eastAsia="Arial" w:hAnsi="Arial"/>
          <w:sz w:val="18"/>
          <w:szCs w:val="18"/>
          <w:color w:val="auto"/>
        </w:rPr>
        <w:t>We are committed to providing a safe and healthy workplace for all employees. We have implemented strict health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protocols, including regular safety training, ergonomic assessments, and mental health support.</w:t>
      </w:r>
    </w:p>
    <w:p>
      <w:pPr>
        <w:ind w:left="1140" w:hanging="484"/>
        <w:spacing w:after="0" w:line="25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 We strive to provide competitive compensation and benefits packages that align with industry standards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the value that our employees bring to the organization.</w:t>
      </w:r>
    </w:p>
    <w:p>
      <w:pPr>
        <w:ind w:left="1140" w:hanging="484"/>
        <w:spacing w:after="0" w:line="26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Engagement. </w:t>
      </w:r>
      <w:r>
        <w:rPr>
          <w:rFonts w:ascii="Arial" w:cs="Arial" w:eastAsia="Arial" w:hAnsi="Arial"/>
          <w:sz w:val="18"/>
          <w:szCs w:val="18"/>
          <w:color w:val="auto"/>
        </w:rPr>
        <w:t>We prioritize employee engagement and satisfaction, as we believe that engaged employees are more productive,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and committed.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www.tilray.com</w:t>
      </w:r>
      <w:r>
        <w:rPr>
          <w:rFonts w:ascii="Arial" w:cs="Arial" w:eastAsia="Arial" w:hAnsi="Arial"/>
          <w:sz w:val="16"/>
          <w:szCs w:val="16"/>
          <w:color w:val="auto"/>
        </w:rPr>
        <w:t>.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our annual report are available, free of charge, on written request to us.</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have a Code of Conduct that applies to our Board of Directors (“Board”) and all of our officers and employees, including, without limitation, our Chief Executive Officer and Chief Financial Officer. You can obtain a copy of our Code of Conduct, as well as our Corporate Governance Guidelines and charters for each of the Board’s standing committees, from the Investors section of our website at: </w:t>
      </w:r>
      <w:r>
        <w:rPr>
          <w:rFonts w:ascii="Arial" w:cs="Arial" w:eastAsia="Arial" w:hAnsi="Arial"/>
          <w:sz w:val="17"/>
          <w:szCs w:val="17"/>
          <w:u w:val="single" w:color="auto"/>
          <w:color w:val="auto"/>
        </w:rPr>
        <w:t>www.tilray.com</w:t>
      </w:r>
      <w:r>
        <w:rPr>
          <w:rFonts w:ascii="Arial" w:cs="Arial" w:eastAsia="Arial" w:hAnsi="Arial"/>
          <w:sz w:val="17"/>
          <w:szCs w:val="17"/>
          <w:color w:val="auto"/>
        </w:rPr>
        <w:t>. If we change or waive any portion of the Code of Conduct that applies to any of our directors, executive officers or senior financial officers, we will disclose such information. Information on our website is not incorporated by reference into this Form 10-K or any other report filed with the SEC.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each of the HEXO Transaction and MedMen Investment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difficulties integrating Tilray and HEXO</w:t>
      </w:r>
      <w:r>
        <w:rPr>
          <w:rFonts w:ascii="Arial" w:cs="Arial" w:eastAsia="Arial" w:hAnsi="Arial"/>
          <w:sz w:val="16"/>
          <w:szCs w:val="16"/>
          <w:color w:val="auto"/>
        </w:rPr>
        <w:t>’</w:t>
      </w:r>
      <w:r>
        <w:rPr>
          <w:rFonts w:ascii="Arial" w:cs="Arial" w:eastAsia="Arial" w:hAnsi="Arial"/>
          <w:sz w:val="16"/>
          <w:szCs w:val="16"/>
          <w:b w:val="1"/>
          <w:bCs w:val="1"/>
          <w:i w:val="1"/>
          <w:iCs w:val="1"/>
          <w:color w:val="auto"/>
        </w:rPr>
        <w:t>s operations and realizing the expected benefits of the Arrangement Agreement.</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success of the Arrangement Agreement will depend in part on our ability to realize the expected operational efficiencies and associated cost synergies and anticipated business opportunities and growth prospects from combining Tilray and HEXO in an efficient and effective manner. We may not be able to fully realize the operational efficiencies and associated cost synergies or leverage the potential business opportunities and growth prospects to the extent anticipated or at all. Additionally, closing of the Arrangement transactions remains subject to the satisfaction of various closing conditions set forth in the Arrangement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Arrangement Agreement was entered into on April 10, 2023, which closed on June 22, 2023, and we are in the early stages of our integration efforts. The integration of operations and corporate and administrative infrastructures may require substantial resources and divert management attention. 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integration process could take longer than anticipated and could result in the loss of key employees, the disruption of each company’s ongoing businesses, increased tax costs, inefficiencies, and inconsistencies in standards, controls, information technology systems, policies and procedures, any of which could adversely affect our ability to maintain relationships with employees, customers or other third parties, or our ability to achieve the anticipated benefits of the transaction, and could harm our financial performance. If we are unable to successfully integrate certain aspects of the operations of Tilray and HEXO or experience delays, we may incur unanticipated liabilities and be unable to fully realize the potential benefit of the revenue growth, synergies and other anticipated benefits resulting from the arrangement, and our business, results of operations and financial condition could be adversely affected. Even if we are able to successfully close the Arrangement transactions, the foregoing risks for the Company would still exist.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made substantial commitments of resources and capital in connection with the MedMen investment.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on August 13, 2021 the Company acquired $165.8 million of certain senior secured convertible notes and related warrants issued by MedMen Enterprises Inc., via the Company’s ownership interest in a limited partnership. These investments, separately and in the aggregate, represent a significant commitment of capital by the Company, and there can be no assurance that the Company will be able to realize returns on these investments or recoup its initial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Cannabis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cannabis business is dependent upon regulatory approvals and licenses, ongoing compliance and reporting obligations, and timely renewals.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ability to cultivate, process, and sell medical and adult-use cannabis, cannabis-derived extracts and derivative cannabis products in Canada is dependent on maintaining the licenses issued to our operating subsidiaries by Health Canada under the Cannabis Regulations, or CR. These licenses allow us to produce cannabis in bulk and finished forms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and other approvals are valid for fixed periods and we must obtain renewals on a periodic basis.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91" w:lineRule="auto"/>
        <w:rPr>
          <w:sz w:val="20"/>
          <w:szCs w:val="20"/>
          <w:color w:val="auto"/>
        </w:rPr>
      </w:pPr>
      <w:r>
        <w:rPr>
          <w:rFonts w:ascii="Arial" w:cs="Arial" w:eastAsia="Arial" w:hAnsi="Arial"/>
          <w:sz w:val="16"/>
          <w:szCs w:val="16"/>
          <w:color w:val="auto"/>
        </w:rPr>
        <w:t>We are also required to obtain and maintain certain permits, licenses or other approvals from regulatory agencies in countries and markets outside of Canada in which we operate or to which we export our product, including, in the case of certain countries, the ability to demonstrate compliance with EU-GMP standards. We have received certification of compliance with EU-GMP standards for cultivation and production at Tilray Portugal and Aphria RX in Germany, as well as Part II EU-GMP certification for Aphria One and Part I EU-GMP certification for ARA-Avanti Rx Analytics Inc.’s (“Avanti”) approved facility. These GMP certified facilities are subject to extensive ongoing compliance reviews to ensure that we continue to maintain compliance with current GMP standards. There can be no assurance that we will be able to continue to comply with these standards. Moreover, future governmental actions in countries where we operate, or export products, may limit or altogether restrict the import and/or export of cannabis products.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future cannabis production facilities that we operate in Canada or elsewhere will also be subject to separate licensing requirements under the CR or applicable local requirements. Although we believe that we will meet the requirements for future renewals of our existing licenses and obtain requisite licenses for future facilities,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An agency’s denial of or delay in issuing or renewing a permit, license or other approval, or revocation or substantial modification of an existing permit, license or approval, could restrict or prevent us from continuing the affected operations, or limit the export and/or import of our cannabis products. In addition, the export and import of cannabis is subject to United Nations treaties establishing country-by-country national estimates and our export and import permits are subject to these estimates which could limit the amount of cannabis we can export to any particular country.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our facilities are subject to ongoing inspections by the governing regulatory authority to monitor our compliance with their licensing requirements. Our existing licenses and any new licenses that we may obtain in the future in Canada or other jurisdictions may be revoked or restricted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cannabis in Canada or other jurisdictions or to import or export cannabis products. In addition, we may be subject to enforcement proceedings resulting from a failure to comply with applicable regulatory requirements in Canada or other jurisdictions, which could result in damage awards, the suspension, withdrawal or non-renewal of our existing approvals or denial of future approvals, recall of products, the imposition of future operating restrictions on our business or operations or the imposition of fines or other penalties.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 is evolving, and unfavorable changes or lack of commercial legalization could impact our ability to carry on our business as currently conducted and the potential expansion of our business.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operate in a highly regulated and rapidly evolving industry. The successful execution of our business objectives is contingent upon compliance with all applicable laws and regulatory requirements in Canada (including the Cannabis Act and CR), Europe and other jurisdictions, and obtaining all required regulatory approvals for the production, sale, import and export of our cannabis products. The laws, regulations and guidelines generally applicable to the cannabis industry domestically and internationally may change in ways currently unforeseen. Any amendment to or replacement of existing laws, regulations, guidelines or policies may cause adverse effects to our operations, financial condition, results of operations and prospects.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legislative framework pertaining to the Canadian cannabis market is still very new. In addition, the governments of every Canadian province and territory have implemented different regulatory regimes for the distribution and sale of cannabis for adult-use purposes within those jurisdictions. There is no guarantee that the Canadian legislative framework regulating the cultivation, processing, distribution and sale of cannabis will not be amended or replaced or the current legislation will create the growth opportunities we currently anticipate.</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United States, despite cannabis having been legalized at the state level for medical use in many states and for adult-use in a number of states, cannabis meeting the statutory definition of “marijuana” continues to be categorized as a Schedule I controlled substance under the federal Controlled Substances Act, or the CSA, and subject to the Controlled Substances Import and Export Act, or the CSIEA. Hemp and marijuana both originate from the Cannabis sativa plant and CBD is a constituent of both. “Marihuana” or “marijuana” is defined in the CSA as a Schedule I controlled substance whereas “hemp” is essentially any parts of the Cannabis sativa plant that has not been determined to be marijuana. Pursuant to the 2018 Farm Bill, “hemp,” or cannabis and cannabis derivatives containing no more than 0.3% of tetrahydrocannabinol, or THC, is now excluded from the statutory definition of “marijuana” and, as such, is no longer a Schedule I controlled substance under the CSA. As a result,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2018 Farm Bill.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648"/>
        <w:spacing w:after="0" w:line="275" w:lineRule="auto"/>
        <w:rPr>
          <w:sz w:val="20"/>
          <w:szCs w:val="20"/>
          <w:color w:val="auto"/>
        </w:rPr>
      </w:pPr>
      <w:r>
        <w:rPr>
          <w:rFonts w:ascii="Arial" w:cs="Arial" w:eastAsia="Arial" w:hAnsi="Arial"/>
          <w:sz w:val="17"/>
          <w:szCs w:val="17"/>
          <w:color w:val="auto"/>
        </w:rPr>
        <w:t>There can be no assurance that the United States will implement federal legalization of cannabis. With respect to CBD and hemp, while the 2018 Farm Bill exempts hemp and hemp derived products from the CSA, the commercialization of hemp products in the United States is subject to various laws, including the 2018 Farm Bill, the FD&amp;C Act, the Dietary Supplement Health and Education Act, or (the “DSHEA”), applicable state and/or local laws, and FDA regulations. See also Risk Factor “</w:t>
      </w:r>
      <w:r>
        <w:rPr>
          <w:rFonts w:ascii="Arial" w:cs="Arial" w:eastAsia="Arial" w:hAnsi="Arial"/>
          <w:sz w:val="17"/>
          <w:szCs w:val="17"/>
          <w:i w:val="1"/>
          <w:iCs w:val="1"/>
          <w:color w:val="auto"/>
        </w:rPr>
        <w:t>United States regulations relating to hemp-derived CBD products are new and rapidly evolving, and changes may</w:t>
      </w:r>
      <w:r>
        <w:rPr>
          <w:rFonts w:ascii="Arial" w:cs="Arial" w:eastAsia="Arial" w:hAnsi="Arial"/>
          <w:sz w:val="17"/>
          <w:szCs w:val="17"/>
          <w:color w:val="auto"/>
        </w:rPr>
        <w:t xml:space="preserve"> </w:t>
      </w:r>
      <w:r>
        <w:rPr>
          <w:rFonts w:ascii="Arial" w:cs="Arial" w:eastAsia="Arial" w:hAnsi="Arial"/>
          <w:sz w:val="17"/>
          <w:szCs w:val="17"/>
          <w:i w:val="1"/>
          <w:iCs w:val="1"/>
          <w:color w:val="auto"/>
        </w:rPr>
        <w:t>not develop in the timeframe or manner most favorable to our business objectives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expand internationally is also contingent, in part, upon compliance with applicable regulatory requirements enacted by governmental authorities and obtaining all requisite regulatory approvals. We cannot predict the impact of the compliance regime that governmental authorities may implement to regulate the adult-use or medical cannabis industry. Similarly, we cannot predict how long it will take to secure all appropriate regulatory approvals for our products, or the extent of testing and documentation that may be required by governmental authorities. The impact of the various compliance regimes, any delays in obtaining, or failure to obtain regulatory approvals may significantly delay or impact the development of markets, products and sales initiatives and could have a material adverse effect on our business, financial condition, results of operations and prospects. As the commercial cannabis industry develops in Canada and other jurisdictions, we anticipate that regulations governing cannabis in Canada and globally will continue to evolve. Further, Health Canada or the regulatory authorities in other countries in which we operate or to which we export our cannabis products may change their administration or application of the applicable regulations or their compliance or enforcement procedures at any time. There is no assurance that we will be able to comply or continue to comply with applicable regulations, which could impact our ability to continue to carry on business as currently conducted and the potential expansion of our business.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incur and will continue to incur ongoing costs and obligations related to regulatory compliance. A failure on our part to comply with regulations may result in additional costs for corrective measures, penalties or restrictions on our business or operations. In addition, changes in regulations, more vigorous enforcement thereof or other unanticipated events could require extensive changes to our operations, increased compliance costs or give rise to material liabilities, which could have a material adverse effect on our business, financial condition, results of operations and prospects.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production and processing facilities are integral to our business and adverse changes or developments affecting our facilities may have an adverse impact on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cultivation and processing facilities are integral to our business and the licenses issued by applicable regulatory authorities is specific to each of these facilities. Adverse changes or developments affecting these facilities, including, but not limited to, disease or infestation of our crops, a fire, an explosion, a power failure, a natural disaster, an epidemic, pandemic or other public health crisis, or a material failure of our security infrastructure, could reduce or require us to entirely suspend operations at the affected facilities.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significant failure of our site security measures and other facility requirements, including failure to comply with applicable regulatory requirements, could have an impact on our ability to continue operating under our facility licenses and our prospects of renewing our licenses, and could also result in a suspension or revocation of these licenses.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anticipate competition will increase, which could hurt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face, and we expect to continue to face, intense competition from other Licensed Producers and other potential competitors, some of which have longer operating histories and more financial resources than we have. In addition, we anticipate that the cannabis industry will continue to undergo consolidation, creating larger companies with financial resources, manufacturing and marketing capabilities and product offerings that may be greater than ours. As a result of this competition, we may be unable to maintain our operations or develop them as currently proposed, on terms we consider acceptable, or at all.</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Health Canada has issued hundreds of licenses for Licensed Producers. The number of licenses granted and the number of Licensed Producers ultimately authorized by Health Canada could have an adverse impact on our ability to compete for market share in Canada. We expect to face additional competition from new market entrants and may experience downward price pressure on our cannabis products as new entrants increase production. If the number of users of cannabis in Canada increases, the demand for products will increase and the Company expects that competition will become more intense, as current and future competitors begin to offer an increasing number of diversified products and pricing strategies.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Our commercial opportunity in the medical and adult-use markets could also be impacted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To remain competitive, we intend to continue to invest in research and development, marketing and sales and client support. We may not have sufficient resources to maintain research and development, marketing and sales and client support efforts on a competitive basis.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foregoing, the legal landscape for medical and adult-use cannabis is changing internationally. We maintain operations outside of Canada, which may be affected as other countries develop, adopt and change their laws related to medical and adult-use cannabis. Increased international competition, including competition from suppliers in other countries who may be able to produce at lower cost, and limitations placed on us by Canadian or other regulations, might lower the demand for our cannabis products on a global scale.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the illicit cannabis market could impact our ability to succeed.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face competition from illegal market operators that are unlicensed and unregulated including illegal dispensaries and illicit market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it is possible that legal cannabis consumers revert to the illicit market as a matter of convenience.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cannabis industry and market are relatively new and evolving, which could impact our ability to succeed in this industry and market.</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operating our business in a relatively new industry and market that is expanding globally, and our success depends on our ability to attract and retain consumers and patients. There are many factors which could impact our ability to attract and retain consumers and patients, including but not limited to brand awareness, our ability to continually produce desirable and effective cannabis products and the ability to bring new consumers and patients into the category. The failure to acquire and retain consumers and patients could have a material adverse effect on our business, financial condition, results of operations and prospects.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remain competitive, we will continue to innovate new products, build brand awareness and make significant investments in our business strategy and production capacity. These investments include introducing new products into the markets in which we operate, adopting quality assurance protocols and procedures, building our international presence and undertaking research and development. These activities may not promote our products as effectively as intended, or at all, and we expect that our competitors will undertake similar investments to compete with us for market share. Competitive conditions, consumer preferences, regulatory conditions, patient requirements,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customers or to develop new cannabis products and produce and distribute these products in time to be effectively commercialized, or these activities may require significantly more resources than we currently anticipate in order to be successful.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constrain our ability to market and distribute our products in Canada.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Canada, there are significant regulatory restrictions on the marketing, branding, product formats, product composition, packaging, and distribution of adult-use cannabis products. For instance, the CR includes a requirement for health warnings on product packaging, the limited ability to use logos and branding (only one brand name and one brand element per package), restrictions on packaging itself, and restrictions on types and avenues of marketing. Cannabis 2.0 regulations, which govern the production and sale of new classes or forms of cannabis products (including vapes and edibles), impose considerable restrictions on product composition, labeling, and packaging in addition to being subject to similar marketing restrictions as existing form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jc w:val="both"/>
        <w:ind w:firstLine="648"/>
        <w:spacing w:after="0" w:line="293" w:lineRule="auto"/>
        <w:rPr>
          <w:sz w:val="20"/>
          <w:szCs w:val="20"/>
          <w:color w:val="auto"/>
        </w:rPr>
      </w:pPr>
      <w:r>
        <w:rPr>
          <w:rFonts w:ascii="Arial" w:cs="Arial" w:eastAsia="Arial" w:hAnsi="Arial"/>
          <w:sz w:val="16"/>
          <w:szCs w:val="16"/>
          <w:color w:val="auto"/>
        </w:rPr>
        <w:t>Further, each province and territory of Canada has the ability to separately regulate the distribution of cannabis within such province or territory (including the legal age), and the rules and regulations adopted vary significantly. Additional marketing and product composition restrictions have been imposed by some provinces and territories. Such federal and provincial restrictions may impair our ability to differentiate our products and develop our adult-use brands. Some provinces and territories also impose significant restrictions on our ability to merchandise products; for example, some provinces impose restrictions on investment in retailers or distributors as well as in our ability to negotiate for preferential retail space or in-store marketing. If we are unable to effectively market our products and compete for market share, our sales and results of operations may be adversely affected.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regarding the health effects of cannabis is in relatively early stages and subject to further study which could impact demand for cannabis products.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Research and clinical trials on the potential benefits and the short-term and long-term effects of cannabis use on human health remains in relatively early stages and there is limited standardization. As such, there are inherent risks associated with using cannabis and cannabis derivative products. Moreover, future research and clinical trials may draw opposing conclusions to statements contained in articles, reports and studies we relied on or could reach different or negative conclusions regarding the benefits, viability, safety, efficacy, dosing or other facts and perceptions related to cannabis, which could adversely affect social acceptance of cannabis and the demand for our products.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United States regulations relating to hemp-derived CBD products are new and rapidly evolving, and changes may not develop in the timeframe or manner most favorable to our business objectives.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participation in the market for hemp-derived CBD products in the United States and elsewhere may require us to employ novel approaches to existing regulatory pathways. Although the passage of the 2018 Farm Bill legalized the cultivation of hemp in the United States to produce products containing CBD and other non-THC cannabinoids, it remains unclear whether and when the FDA will propose or implement new or additional regulations. While, to date, there are no laws or regulations enforced by the FDA which specifically address the manufacturing, packaging, labeling, distribution, or sale of hemp or hemp-derived CBD products and the FDA has issued no formal regulations addressing such matters, the FDA has issued various guidance documents and other statements reflecting its non-binding opinion on the regulation of such products.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hemp plant and the cannabis/marijuana plant are both part of the same cannabis sativa genus/species of plant, except that hemp, by definition, has less than 0.3% THC content, but the same plant with a higher THC content is cannabis/marijuana, which is legal under certain state laws, but which is not legal under United States federal law. The similarities between these two can cause confusion, and our activities with legal hemp in the United States may be incorrectly perceived as us being involved in federally illegal cannabis.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or cease distributing them altogether. The FDA could also issue new regulations that prohibit or limit the sale of hemp-derived CBD products. Such regulatory actions and associated compliance costs may hinder our ability to successfully compete in the market for such products.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such products may be subject to regulation at the state or local levels.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regulation of hemp and CBD in the United States has been constantly evolving,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 Unforeseen regulatory obstacles or compliance costs may hinder our ability to successfully compete in the market for such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Risks related to the Beverage Alcohol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consumer preferences or public attitudes about alcohol could decrease demand for our beverage alcohol products.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general consumer trends lead to a decrease in the demand for SweetWater’s and Montauk's beers and other alcohol products or Breckenridge’s whiskey products, including craft beer, our sales and results of operations in the beverage alcohol segment may be adversely affected. There is no assurance that the craft brewing segment will experience growth in future periods. If the markets for wine, spirits or flavored alcohol beverages continue to grow, this could draw consumers away from the industry in general and our beverage alcohol products specifically.</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Further, the alcoholic beverage industry is subject to public concern and political attention over alcohol-related social problems, including drunk driving, underage drinking and health consequences from the misuse of alcohol. In reaction to these concerns, steps may be taken to restrict advertising, to impose additional cautionary labeling or packaging requirements, or to increase excise or other taxes on beverage alcohol products. Any such developments may have an adverse impact on the financial condition, operating results and cash flows for SweetWater, Montauk and Breckenridge.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Developments affecting production at our brewery in Atlanta or our distillery in Breckenridge could negatively impact financial results for our beverage alcohol business segment.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Adverse changes or developments affecting our brewery in Atlanta or our distillery in Breckenridge, including, fire, power failure, natural disaster, public health crisis, or a material failure of our security infrastructure, could reduce or require us to entirely suspend operations. Additionally, due to many factors, including seasonality and production schedules of our various products and packaging, actual production capacity may fluctuate throughout the year and may not reach full working capacity. If we experience contraction in our sales and production volumes, the excess capacity and unabsorbed overhead may have an adverse effect on gross margins, operating cash flows and overall financial performance of SweetWater, Montauk or Breckenridge.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SweetWater, Breckenridge and Montauk each face substantial competition in the beer industry and the broader market for alcoholic beverage products which could impact our business and financial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market for alcoholic beverage products within the United States is highly competitive due to the increasing number of domestic and international beverage companies with similar pricing and target drinkers, the introduction and expansion of hard seltzers and ready-to-drink beverages, gains in market share achieved by domestic specialty beers and imported beers, and the acquisition of craft brewers and smaller producers by larger companies. We anticipate competition among domestic craft brewers and distillers will also remain strong as existing facilities build more capacity, expand geographically and add more products, flavors and styles. The continued growth in the sales of hard seltzers, craft-brewed domestic beers and imported beers is expected to increase competition in the market for alcoholic beverages within the United States and, as a result, prices and market share of SweetWater’s, Montauk Brewing's and Breckenridge’s products may fluctuate and possibly decline.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alcohol industry has seen continued consolidation among producers in order to take advantage of cost savings opportunities for supplies, distribution and operations. Due to the increased leverage that these combined operations have in distribution and sales and marketing expenses, the costs to SweetWater, Montauk and Breckenridge of competing could increase. The potential also exists for these large competitors to increase their influence with their distributors, making it difficult for smaller producers to maintain their market presence or enter new markets. The increase in the number and availability of competing products and brands, the costs to compete and potential decrease in distribution support and opportunities may adversely affect our business and financial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SweetWater, Breckenridge and Montauk are each dependent on distributors to deliver sustained growth and distribute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United States, each of SweetWater, Breckenridge and Montauk sells its alcohol beverages to independent distributors for distribution to retailers and, ultimately, to consumers. No assurance can be given that SweetWater, Breckenridge and Montauk will be able to maintain their current distribution networks or secure additional distributors on favorable terms. If existing distribution agreements are terminated, it may not be possible to enter into new distribution agreements on substantially similar terms or to timely put in place replacement distribution agreements, which may result in an impairment to distribution and an increase in the costs of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 and Risks Related to Our Financial Condition and Operations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intangible and other long-lived assets comprise a significant portion of our total assets. As of May 31, 2023 our goodwill and intangible assets totaled $2.0 billion and $971.3 million, respectively. We test goodwill and indefinite lived intangible assets for impairment annually, while our other long-lived assets, including our finite-lived intangible assets, are tested for impairment when circumstances indicate that the carrying amount may not be recoverable, in accordance with Generally Accepted Accounting Principles in the U.S. (“GAAP”). A decrease in our market capitalization or profitability, or unfavorable changes in market, economic or industry conditions could increase the risk of additional impairment. Any resulting additional impairments could have a negative impact on our stock price.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May 31, 2023, the Company recognized non-cash impairment charges of $603.5 million in cannabis goodwill and $15 million in wellness goodwill, $205 million in intangible assets and $104 million in capital assets. These non-cash impairment charges were a result of a decline in the Company's market value which was determined to be other than temporary, as well as increased borrowing rates which forced the Company to adjust the company specific risk premium.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continue to monitor key assumptions and other factors utilized in our goodwill, intangible and other long-lived assets impairment analysis, and if business or other market conditions develop that are materially different than we currently anticipate, we will conduct an additional impairment evaluation. Any reduction in or impairment of the value of goodwill, intangible assets and long-lived assets will result in a charge against earnings, which could have a material adverse impact on our reported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net losses, and we may not achieve or maintain profitability in the future.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began operating in 2014 and have yet to generate a profit. We intend to continue to expend significant funds to explore potential opportunities and complete strategic mergers and acquisitions, invest in research and development, expand our marketing and sales operations and meet the compliance requirements as a public company.</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herein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and selling cannabis and beverage alcohol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common stock may significantly decrease and our ability to raise capital, expand our business or continue our operations may be impaired.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We are subject to litigation, arbitration and demands, which could result in significant liability and costs, and impact our resources and reputation.</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Tilray has previously been named as a defendant in a class action relating to the prior merger of Privateer Holdings, Inc. with and into a wholly owned subsidiary (referred to as the Downstream Merger), and a class action related to the drop in our stock price. In addition, legal proceedings covering a wide range of matters are pending or threatened in various U.S. and foreign jurisdictions against the Company. The type of claims that may be raised in these proceedings include product liability, unfair trade practices, antitrust, tax, contraband shipments, patent infringement, employment matters, claims for contribution and claims of competitors, shareholders or distributors. Litigation is subject to uncertainty and it is possible that there could be adverse developments in pending or future cases.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also subject to other litigation and demands relating to business decisions, regulatory and industry changes, supply relationships, and our business acquisition matters and related activities. Litigation may include claims for substantial compensatory or punitive damages or claims for indeterminate amounts of damages. Tilray and its various subsidiaries are also involved from time to time in other reviews, investigations and proceedings (both formal and informal) by governmental and self-regulatory agencies regarding our business. These matters could result in adverse judgments, settlements, fines, penalties, injunctions or other relief.</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incurred and may continue to incur substantial costs and expenses relating directly to these actions. Responding to such actions could divert management’s attention away from our business operations and result in substantial costs. For more information on our pending legal proceedings, see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laws of various countries as a result of our international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conduct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our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Changes, if any, in the laws, regulations and policies relating to the advertising, production, sale and use of our products or in the general economic 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there is no assurance that we will be able to secure the requisite import and export permits for the international distribution of our products. Countries may also impose restrictions or limitations on imports that require the use of, or confer significant advantages upon, producers within that particular country. As a result, we may be required to establish facilities in one or more countries in the EU (or elsewhere) where we wish to distribute our products in order to take advantage of the favorable legislation offered to producers in these countries.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comply concurrently with all applicable laws in each jurisdiction where we operate or to which we export our products, and any changes to such laws could adversely impact our business.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Various federal, state, provincial and local laws and regulations govern our business in the jurisdictions in which we operate or propose to operate, 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strategic alliances and other third-party business relationships may not achieve the intended beneficial impact and expose us to risks.</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currently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execute future acquisitions, dispositions or other equity transactions or to successfully manage the impacts of such transactions on our operations.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capital stock or cash to pay for the acquisition. Material acquisitions and strategic transactions have been and continue to be material to our business strategy.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inherent in an agricultural business, including the risk of crop failure.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grow cannabis, which is an agricultural process. As such, our business is subject to the risks inherent in the agricultural business, including risks of crop failure presented by weather, climate change, forest fires, insects, plant diseases and similar agricultural risks. Although we primarily grow our products indoors under climate-controlled conditions, we also have certain outdoor cultivation capacity and there can be no assurance that natural elements, such as insects, climate change and plant diseases, will not interrupt our production activities or have an adverse effect on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a significant portion of revenue from the supply contracts we have with 12 Canadian provinces and territories for adult-use cannabis products. There are many factors which could impact our contractual agreements with the provinces and territories, including but not limited to availability of supply, product selection and the popularity of our products with retail customers. If our supply agreements with certain Canadian provinces and territories are amended, terminated or otherwise altered, our sales and results of operations could be adversely affected, which could have a material adverse effect on our business, financial condition, results of operations and prospects.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not all of our supply contracts with the Canadian provinces and territories contain purchase commitments or otherwise obligate the provincial or territorial wholesaler to buy a minimum or fixed volume of cannabis products from us. The amount of cannabis that the provincial or territorial wholesalers may purchase under the supply contracts may therefore vary from what we expect or planned for. As a result, our revenues could fluctuate materially in the future and could be materially and disproportionately impacted by the purchasing decisions of the provincial or territorial wholesalers. In the future, these customers may decide to purchase less product from us than they have in the past, may alter purchasing patterns or return inventory, or may decide not to continue to purchase our products, any of which could cause our revenue to decline materially and materially harm our financial condition and results of operations. If we are unable to diversify our customer base, we will continue to be susceptible to risks associated with customer concentration.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attract or retain key personnel, and we may be unable to attract, develop and retain additional employees required for our development and future success.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Further, officers, directors, and certain key personnel at each of our facilities that are licensed by Health Canada are subject to the requirement 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leaves us and we are unable to find a suitable replacement who meets these requirements, we may no longer be able to continue our clinical trial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Increased labor costs, potential organization of our workforce, employee strikes, and other labor-related disruption may adversely affect our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Portugal, none of our employees are represented by a labor union or subject to a collective bargaining agreement. In Portugal, none of our employees are represented by a labor union or subject to any workforce-initiated labor agreement. As with other companies carrying on business in Portugal, we are subject to a government-mandated collective bargaining agreement, which grants employees nominal additional benefits beyond those required by the local labor code. We cannot assure that our labor costs going forward will remain competitive based on various factors,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interruptions in our access to certain supply chains for key inputs such as raw materials, supplies, electricity, water and other utilities may impair our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is dependent on a number of key inputs and their related costs (certain of which are sourced in other countries and on different continents), including raw materials, supplies and equipment related to our operations, as well as electricity, water and other utilities. We operate global manufacturing facilities, and have dispersed suppliers and customers. Governments may regulate or restrict the flow of labor or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compete is dependent on us having access, at a reasonable cost and in a timely manner, to skilled labor, equipment, parts and components. No assurances can be given that we will be successful in maintaining our required supply of labor, equipment, parts and components. In addition, the invasion of Ukraine by Russia and the resulting measures that have been taken, and could be taken in the future, have and may continue to have a negative impact on our costs, including for input materials, energy and transportation.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cannabinoid prices relative to contracted prices with third party suppliers could negatively impact our earnings.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results of operations and financial condition, as well as the selling prices for our products, are dependent upon cannabinoid supply contracts. Production and pricing of cannabinoids are determined by constantly changing market forces of supply and demand over which we have limited or no control. The market for cannabis biomass is particularly volatile compared to other commoditized markets due to the relatively nascent maturity of the industry in which we operate.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failure to successfully negotiate supply contracts that address such market vagaries could result in us being contractually obligated to purchase products, some of which may be priced above then-current market prices, or interruption of the supply of inputs for the manufacturing of our products, all of which could have a material adverse effect on our business, results of operations, financial condition, liquidity and prospects.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negatively impacted by volatility in the political and economic environment, and a period of sustained inflation across the markets in which we operate could result in higher operating costs.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variability. These conditions may impact our business. Further rising inflation may negatively impact our business, raise cost and reduce profitability. While we would take actions, wherever possible, to reduce the impact of the effects of inflation, in the case of sustained inflation across several of the markets in which we operate, it could become increasingly difficult to effectively mitigate the increases to our costs. In addition, the effects of inflation on consumers’ budgets could result in the reduction of our customers’ spending habits. If we are unable to take actions to effectively mitigate the effect of the resulting higher costs, our profitability and financial position could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face risks associated with the transportation of our products to consumers in a safe and efficient manner.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fast, cost-effective, and efficient courier services to distribute our products to both wholesale and retail customers. Any prolonged disruption of third-party transportation services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products could also have an impact on our ability to continue supplying provinces and territories, to continue operating under our existing licenses, to renew or receive amendments to our existing licenses or to obtain new licenses.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may be subject to recalls for a variety of reasons, which could require us to expend significant management and capital resources.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Manufacturers and distributors of cannabis, hemp and beverage alcohol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products, there can be no assurance that any quality, potency or contamination problems will be detected in time to avoid unforeseen product recalls, regulatory action or lawsuits, whether frivolous or otherwise. If any of the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cannabis products generally, including products sold by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or regulatory action. This risk is exacerbated by the fact that cannabis use may increase the risk of serious adverse side effects.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now offering an expanded assortment of form factors, some of which may have additional adverse side effects, such as vaping products. See also Risk Factor “</w:t>
      </w:r>
      <w:r>
        <w:rPr>
          <w:rFonts w:ascii="Arial" w:cs="Arial" w:eastAsia="Arial" w:hAnsi="Arial"/>
          <w:sz w:val="16"/>
          <w:szCs w:val="16"/>
          <w:i w:val="1"/>
          <w:iCs w:val="1"/>
          <w:color w:val="auto"/>
        </w:rPr>
        <w:t>Our vape business is subject to uncertainty</w:t>
      </w:r>
      <w:r>
        <w:rPr>
          <w:rFonts w:ascii="Arial" w:cs="Arial" w:eastAsia="Arial" w:hAnsi="Arial"/>
          <w:sz w:val="16"/>
          <w:szCs w:val="16"/>
          <w:color w:val="auto"/>
        </w:rPr>
        <w:t xml:space="preserve"> </w:t>
      </w:r>
      <w:r>
        <w:rPr>
          <w:rFonts w:ascii="Arial" w:cs="Arial" w:eastAsia="Arial" w:hAnsi="Arial"/>
          <w:sz w:val="16"/>
          <w:szCs w:val="16"/>
          <w:i w:val="1"/>
          <w:iCs w:val="1"/>
          <w:color w:val="auto"/>
        </w:rPr>
        <w:t>in the evolving vape market due to negative public sentiment and regulatory scrutiny.</w:t>
      </w:r>
      <w:r>
        <w:rPr>
          <w:rFonts w:ascii="Arial" w:cs="Arial" w:eastAsia="Arial" w:hAnsi="Arial"/>
          <w:sz w:val="16"/>
          <w:szCs w:val="16"/>
          <w:color w:val="auto"/>
        </w:rPr>
        <w:t>” Previously unknown adverse reactions resulting from human</w:t>
      </w:r>
      <w:r>
        <w:rPr>
          <w:rFonts w:ascii="Arial" w:cs="Arial" w:eastAsia="Arial" w:hAnsi="Arial"/>
          <w:sz w:val="16"/>
          <w:szCs w:val="16"/>
          <w:i w:val="1"/>
          <w:iCs w:val="1"/>
          <w:color w:val="auto"/>
        </w:rPr>
        <w:t xml:space="preserve"> </w:t>
      </w:r>
      <w:r>
        <w:rPr>
          <w:rFonts w:ascii="Arial" w:cs="Arial" w:eastAsia="Arial" w:hAnsi="Arial"/>
          <w:sz w:val="16"/>
          <w:szCs w:val="16"/>
          <w:color w:val="auto"/>
        </w:rPr>
        <w:t>consumption of cannabis or beverage alcohol products alone or in combination with other medications or substances could also occur.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In addition, the manufacture and sale of our products, like the manufacture and sale of any ingested product, involves a risk of injury to consumers due to tampering by unauthorized third parties or product contamination. We have in the past recalled, and may again in the future have to recall, certain products as a result of potential contamination and quality assurance concerns. A product liability claim or regulatory action against us could result in increased costs and could adversely affect our reputation and goodwill with our customers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adversely affect our commercial arrangements with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safety, health and environmental regulations applicable to our operations and industry may expose us to liability and impact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government environmental approvals and permits are currently, and may in the future be required in connection with our operations. To the extent such approvals are required and not obtained, we may be curtailed or prohibited from its proposed business activities or from proceeding with the development of our operations as currently proposed. Failure to comply with applicable environmental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We may be required to compensate those suffering loss or damage due to our operations and may have civil or criminal fines or penalties imposed for violations of applicable environmental laws or regulations.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firstLine="648"/>
        <w:spacing w:after="0" w:line="254" w:lineRule="auto"/>
        <w:rPr>
          <w:sz w:val="20"/>
          <w:szCs w:val="20"/>
          <w:color w:val="auto"/>
        </w:rPr>
      </w:pPr>
      <w:r>
        <w:rPr>
          <w:rFonts w:ascii="Arial" w:cs="Arial" w:eastAsia="Arial" w:hAnsi="Arial"/>
          <w:sz w:val="18"/>
          <w:szCs w:val="18"/>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breaches of security at our facilities, which could result in product loss and liability.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risks related to our information technology systems, including service interruption, cyber-attacks and misappropriation of data, which could disrupt operations and may result in financial losses and reputational damage.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are a number of laws protecting the confidentiality of personal information and patient health information, and restricting the use and disclosure of that protected information. In particular, the privacy rules under the Personal Information Protection and Electronics Documents Act (Canada), or PIPEDA, the European Unions’ General Data Protection Regulation, or the GDPR, and similar laws in other jurisdictions, protect personal information, including medical records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cannabis industry continues to face significant funding challenges, and we may not be able to secure adequate or reliable sources of funding, which may impact our operations and potential expansion.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There can be no assurance that additional capital or other types of equity or debt financing will be available if needed or that, if available, the terms of such financing will be favorable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and future debt agreements may contain covenant restrictions that limit our ability to operate our business and pursue beneficial transactions.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existing debt agreements and future debt agreements may contain, covenant restrictions that limit our ability to operate our business, including restrictions on our ability to invest in our existing facilities, incur additional debt or issue guarantees, create additional liens, repurchase stock or make other restricted payments. As a result of these covenants, our ability to respond to changes in business and economic conditions and engage in beneficial transactions, including to obtain additional financing and pursue business opportunities, may be restricted. Furthermore, our failure to comply with our debt covenants could result in a default under our debt agreements, which could permit the holders to accelerate our obligation to repay the debt and to enforce security over our assets. If any of our debt is accelerated, we may not have sufficient funds available to repay it or be able to obtain new financing to refinance the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our debt will require a significant amount of cash, and we may not have sufficient cash flow from our business to pay our substantial debt.</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substantial consolidated indebtedness (refer to the consolidated financial statements included elsewhere in this Form 10-K)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including rising interest rates.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may not be able to successfully establish and maintain effective internal controls over financial reporting.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(“GAAP”). Due to the work around integration and modification to internal control over financial reporting and other policies and procedures,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ind w:firstLine="648"/>
        <w:spacing w:after="0" w:line="289" w:lineRule="auto"/>
        <w:rPr>
          <w:sz w:val="20"/>
          <w:szCs w:val="20"/>
          <w:color w:val="auto"/>
        </w:rPr>
      </w:pPr>
      <w:r>
        <w:rPr>
          <w:rFonts w:ascii="Arial" w:cs="Arial" w:eastAsia="Arial" w:hAnsi="Arial"/>
          <w:sz w:val="16"/>
          <w:szCs w:val="16"/>
          <w:color w:val="auto"/>
        </w:rPr>
        <w:t>It is not expected that our disclosure controls and procedures and internal controls over financial reporting will prevent all error or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inherent limitations, our internal control over financial reporting may not prevent or detect all misstatements. The inherent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We cannot guarantee that we will not have a material weakness in our internal controls in the future. If we experience any material weakness in our internal controls in the future, our financial statements may contain misstatements and we could be required to restate our financial statements.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our sales are generated in Canada and other countries outside the United States, fluctuations in foreign currency exchange rates could harm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reporting currency for our financial statements is the United States dollar. We derive a significant portion of our revenue and incur a significant portion of our operating costs in Canada and Europe, as well as other countries outside the United States, including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securities we have issued.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regular review and audit by federal, state, provincial and local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may not be able to utilize our net operating loss carryforwards which could result in greater than anticipated tax liabilities.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accumulated net operating loss carryforwards in the United States, Canada and other jurisdictions. Our ability to use our net operating loss carryforwards is dependent upon our ability to generate taxable income in future periods. In addition, these net operating loss carryforwards could expire unused or be subject to limitations which impact our ability to offset future income tax liabilities. U.S. federal net operating losses incurred in 2018 and in future years may be carried forward indefinitely. However, our Canadian net operating loss carry-forwards begin to expire in 2028, and limited carryforward periods also exist in other jurisdictions. As a result, we may not be able realize the full benefit of our net operating loss carryforwards in Canada and other jurisdictions, which could result in increased future tax liability to us. Further, our ability to utilize net operating loss carryforwards in the United States and other jurisdictions could be limited from ownership changes in the current and/or prior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long as cannabis remains illegal under U.S. federal law as a Schedule I controlled substance under the CSA, the benefit of certain federal laws and protections that may be available to most businesses, such as federal trademark and patent protection, may not be available to us. As a result, our intellectual property may not be adequately or sufficiently protected against the use or misappropriation by third parties under such U.S. laws. In addition, since the regulatory framework of the cannabis industry is in a state of flux, we can provide no assurance that we will obtain protection for our intellectual property, whether on a federal, state or local level.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the full benefit of the clinical trials or studies that we participate in if we are unable to secure ownership or the exclusive right to use the resulting intellectual property on commercially reasonable terms.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Arial" w:cs="Arial" w:eastAsia="Arial" w:hAnsi="Arial"/>
          <w:sz w:val="17"/>
          <w:szCs w:val="17"/>
          <w:i w:val="1"/>
          <w:iCs w:val="1"/>
          <w:color w:val="auto"/>
        </w:rPr>
        <w:t>e.g.</w:t>
      </w:r>
      <w:r>
        <w:rPr>
          <w:rFonts w:ascii="Arial" w:cs="Arial" w:eastAsia="Arial" w:hAnsi="Arial"/>
          <w:sz w:val="17"/>
          <w:szCs w:val="17"/>
          <w:color w:val="auto"/>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in public markets has experienced and may continue to experience severe volatility and fluctuations.</w:t>
      </w:r>
    </w:p>
    <w:p>
      <w:pPr>
        <w:spacing w:after="0" w:line="2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market price for our common stock, and the market price of stock of other companies operating in the cannabis industry, has been extremely volatile. For example, during the 2023 fiscal year, the trading price of our common stock ranged between a low sales price of $1.78 and a high sales price of $5.12. The market price of our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(viii) news reports or social media relating to trends, concerns, technological or competitive developments, regulatory changes and other related issues in the cannabis industry or our target markets; and (ix) the increase in the number of retail investors and their participation in social media platforms targeted at speculative investing.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volatility of our stock and the stockholder base may hinder or prevent us from engaging in beneficial corporate initiatives.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stockholder base is comprised of a large number of retail (or non-institutional) investors, which creates more volatility since stock changes hands frequently. In accordance with our governing documents and applicable laws, there are a number of initiatives that require the approval of stockholders at the annual or a special meeting. To hold a valid meeting, a quorum comprised of stockholders representing one-third of the voting power of our outstanding shares of common stock is necessary. A record date is established to determine which stockholders are eligible to vote at the meeting, which record date must be 30 – 60 days prior to the meeting. Since our stocks change hands frequently, there can be a significant turnover of stockholders between the record date and the meeting date which makes it harder to get stockholders to vote. While we make every effort to engage retail investors, such efforts can be expensive and the frequent turnover creates logistical issues. Further retail investors tend to be less likely to vote in comparison to institutional investors. Failure to secure sufficient votes or to achieve the minimum quorum needed for a meeting to happen may impede our ability to move forward with initiatives that are intended to grow the business and create stockholder value or prevent us from engaging in such initiatives at all. If we find it necessary to delay or adjourn meetings or to seek approval again, it will be time consuming and we will incur additional costs.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March 13, 2020, we entered into an underwriting agreement with Canaccord Genuity LLC relating to the issuance and sale of shares of our common stock at a price to the public of $4.76 per share and included warrants to purchase additional common stock at a price of $4.7599 per warrant. As of May 31, 2023, 6,209,000 warrants remain outstanding and do not expire until March 13, 2025. 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Therefore, the exercise price of the warrants may end up being lower than $5.95 per share, which could result in incremental dilution to existing stockholders.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Additionally,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If our stock price were to remain below the warrant exercise price of $5.95 per share for an extended time, we may be forced to lower the warrant exercise price at unfavorable terms in order to fund our ongoing operations. As of May 31, 2023, the warrant exercise price was $3.15. Refer to Part II, Item 8, Note 20, </w:t>
      </w:r>
      <w:r>
        <w:rPr>
          <w:rFonts w:ascii="Arial" w:cs="Arial" w:eastAsia="Arial" w:hAnsi="Arial"/>
          <w:sz w:val="18"/>
          <w:szCs w:val="18"/>
          <w:i w:val="1"/>
          <w:iCs w:val="1"/>
          <w:color w:val="auto"/>
        </w:rPr>
        <w:t>Warrants</w:t>
      </w:r>
      <w:r>
        <w:rPr>
          <w:rFonts w:ascii="Arial" w:cs="Arial" w:eastAsia="Arial" w:hAnsi="Arial"/>
          <w:sz w:val="18"/>
          <w:szCs w:val="18"/>
          <w:color w:val="auto"/>
        </w:rPr>
        <w:t>, of this form 10-K for additional information.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Securities in cash or to repurchase the Convertible Securities upon a fundamental change.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issued various securities convertible into shares of our common stock, or Convertible Securities. Holders of certain Convertible Securities have the right to require us to repurchase their Convertible Securities upon the occurrence of a fundamental change. In addition, upon conversion, unless we deliver solely shares of our common stock to settle such conversion (other than paying cash in lieu of delivering any fractional share), we will be required to make cash payments in respect of the Convertible Securities being converted. However, we may not have enough available cash or be able to obtain financing at the time we are required to make repurchases of Convertible Securities surrendered. In addition, our ability to repurchase the Convertible Securities or to pay cash upon conversions of the Convertible Securities may be limited by law, by regulatory authority or by agreements governing our future indebtedness. Our failure to repurchase Convertible Securities at a time when the repurchase is required by the indenture or to pay any cash payable on future conversions of the Convertible Securities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Securities or make cash payments upon conversions thereof.</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Securities, if triggered, may adversely affect our financial condition and operating results.</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a conditional conversion feature of the Convertible Securities is triggered, holders of Convertible Securities will be entitled to convert the Convertible Securities at any time during specified periods at their option. If one or more holders elect to convert their Convertible Securities,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Convertible Securities do not elect to convert their Convertible Securities, we could be required under applicable accounting rules to reclassify all or a portion of the outstanding principal of the Convertible Securities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Convertible Securities may dilute the ownership interest of our stockholders or may otherwise depress the price of our common stock.</w:t>
      </w:r>
    </w:p>
    <w:p>
      <w:pPr>
        <w:spacing w:after="0" w:line="2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conversion of some or all of the Convertible Securities may dilute the ownership interests of our stockholders. Upon conversion of the Convertible Securities,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Securities may encourage short selling by market participants because the conversion of the Convertible Securities could be used to satisfy short positions, or anticipated conversion of the Convertible Securities into shares of our common stock could depress the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in the indentures governing the Convertible Securities may delay or prevent an otherwise beneficial takeover attempt of us.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provisions in the indentures governing the Convertible Securities may make it more difficult or expensive for a third party to acquire us. For example, we may be required to repurchase certain Convertible Securities for cash upon the occurrence of a fundamental change and, in certain circumstances, to increase the relevant conversion rate for a holder that converts its Convertible Securities in connection with a make-whole fundamental change. A takeover of us may trigger the requirement that we repurchase the Convertible Securities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stockholders may be subject to dilution resulting from future offerings of common stock by us.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could make an acquisition of us more difficult and may prevent attempts by our stockholders to replace or remove our current board of directors.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195"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4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maintain adequate insurance coverage, the premiums may not continue to be commercially justifiable, and coverage limitations or exclusions may leave us exposed to uninsured liabilities.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maintain insurance coverage, including product liability insurance, protecting many, but not all, of our assets and operations. Our insurance coverage is subject to coverage limits and exclusions and may not be available for all of the risks and hazards to which we are exposed, or the coverage limits may not be sufficient to protect against the full amount of loss.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diminish our liquidity, profitability or solvency.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The financial reporting obligations of being a public company and maintaining a dual listing on the TSX and on NASDAQ requires significant company resources and management attention.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subject to the public company reporting obligations under the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and the rules and regulations regarding corporate governance practices, including those under the Sarbanes-Oxley Act, the Dodd-Frank Act, and the listing requirements of Nasdaq Global Select Market (“NASDAQ”) and the Toronto Stock Exchange (“TSX”). We incur significant legal, accounting, reporting and other expenses in order to maintain a dual listing on both the TSX and NASDAQ. Moreover, our listing on both the TSX and NASDAQ may increase price volatility due to various factors, including the ability to buy or sell common shares, different market conditions in different capital markets and different trading volumes. In addition, low trading volume may increase the price volatility of the common shares.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cannabis company, we may be subject to heightened scrutiny in Canada and the United States that could materially adversely impact the liquidity of our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existing operations in the United States, and any future operations, may become the subject of heightened scrutiny by regulators, stock exchanges and other authorities in the United States and Canada.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heightened risk profile associated with cannabis in the United States, the Canadian Depository for Securities Ltd., or CDS, may implement procedures or protocols that would prohibit or significantly impair the ability of CDS to settle trades for companies that have cannabis businesses or assets in the United States.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the parent company of CDS, announced the signing of a Memorandum of Understanding (the “TMX MOU”) with Aequitas NEO Exchange Inc., the CSE, the Toronto Stock Exchange, and the TSX Venture Exchange. The TMX MOU outlines the parties’ understanding of Canada’s regulatory framework applicable to the rules, procedures, and regulatory oversight of the exchanges and CDS as it relates to issuers with cannabis-related activities in the United States. The TMX MOU confirms, with respect to the clearing of listed securities, that CDS relies on the exchanges to review the conduct of listed issuers. As a result, there is no CDS ban on the clearing of securities of issuers with cannabis-related activities in the United States. However, there can be no assurances given that this approach to regulation will continue in the future. If such a ban were to be implemented, it could have a material adverse effect on the ability of holders of the common stock to settle trades. In particular, the shares of common stock would become highly illiquid until an alternative was implemented, and investors would have no ability to effect a trade of the common stock through the facilities of a stock exchange.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us and we may face difficulty or be unable to implement or comply with any such changes.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maintain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spacing w:after="0" w:line="342" w:lineRule="auto"/>
        <w:rPr>
          <w:sz w:val="20"/>
          <w:szCs w:val="20"/>
          <w:color w:val="auto"/>
        </w:rPr>
      </w:pPr>
      <w:r>
        <w:rPr>
          <w:rFonts w:ascii="Arial" w:cs="Arial" w:eastAsia="Arial" w:hAnsi="Arial"/>
          <w:sz w:val="16"/>
          <w:szCs w:val="16"/>
          <w:b w:val="1"/>
          <w:bCs w:val="1"/>
          <w:i w:val="1"/>
          <w:iCs w:val="1"/>
          <w:color w:val="auto"/>
        </w:rPr>
        <w:t>We may be materially adversely affected by negative impacts on the global economy, capital markets or other geopolitical conditions resulting from the recent invasion of Ukraine by Russia and subsequent sanctions against Russia, Belarus and related individuals and entities.</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United States and global markets are experiencing volatility and disruption following the escalation of geopolitical tensions and the recent invasion of Ukraine by Russia in February 2022. In response to such invasion,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during the ongoing military conflict, increasing geopolitical tensions with Russia. The invasion of Ukraine by Russia and the resulting measures that have been taken, and could be taken in the future, by NATO, the United States, the United Kingdom, the European Union and other countries have created global security concerns that could have a lasting impact on regional and global economies. Although the length and impact of the ongoing military conflict in Ukraine is highly unpredictable, the conflict could lead to market disruptions, including significant volatility in commodity prices, credit and capital markets, as well as supply chain interruptions. Additionally, Russian military actions and the resulting sanctions could adversely affect the global economy and financial markets and lead to instability and lack of liquidity in capital markets.</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of the above mentioned factors, or any other negative impact on the global economy, capital markets or other geopolitical conditions resulting from the Russian invasion of Ukraine and subsequent sanctions, could adversely affect our business. The extent and duration of the Russian invasion of Ukraine,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“Risk Factors” section, such as those related to the market for our securities, cross-border transactions or our ability to raise equity or debt financing. If these disputes or other matters of global concern continue for an extensive period of time, our operations may be adversely affected.</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recent invasion of Ukraine by Russia, and the impact of sanctions against Russia, and the potential for retaliatory acts from Russia, could result in increased cyber-attacks against U.S.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outlines our principal cultivation, manufacturing and storage facilities by reporting segment as of May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Borders>
              <w:top w:val="single" w:sz="8" w:color="auto"/>
            </w:tcBorders>
            <w:gridSpan w:val="2"/>
            <w:vMerge w:val="restart"/>
          </w:tcPr>
          <w:p>
            <w:pPr>
              <w:ind w:left="1060"/>
              <w:spacing w:after="0"/>
              <w:rPr>
                <w:sz w:val="20"/>
                <w:szCs w:val="20"/>
                <w:color w:val="auto"/>
              </w:rPr>
            </w:pPr>
            <w:r>
              <w:rPr>
                <w:rFonts w:ascii="Arial" w:cs="Arial" w:eastAsia="Arial" w:hAnsi="Arial"/>
                <w:sz w:val="18"/>
                <w:szCs w:val="18"/>
                <w:b w:val="1"/>
                <w:bCs w:val="1"/>
                <w:color w:val="auto"/>
              </w:rPr>
              <w:t>Facility and Primary Use</w:t>
            </w:r>
          </w:p>
        </w:tc>
        <w:tc>
          <w:tcPr>
            <w:tcW w:w="182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Location</w:t>
            </w:r>
          </w:p>
        </w:tc>
        <w:tc>
          <w:tcPr>
            <w:tcW w:w="196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Reporting Segment</w:t>
            </w:r>
          </w:p>
        </w:tc>
        <w:tc>
          <w:tcPr>
            <w:tcW w:w="176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Owned/ Leased</w:t>
            </w:r>
          </w:p>
        </w:tc>
        <w:tc>
          <w:tcPr>
            <w:tcW w:w="17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Approximate</w:t>
            </w:r>
          </w:p>
        </w:tc>
        <w:tc>
          <w:tcPr>
            <w:tcW w:w="0" w:type="dxa"/>
            <w:vAlign w:val="bottom"/>
          </w:tcPr>
          <w:p>
            <w:pPr>
              <w:spacing w:after="0"/>
              <w:rPr>
                <w:sz w:val="1"/>
                <w:szCs w:val="1"/>
                <w:color w:val="auto"/>
              </w:rPr>
            </w:pPr>
          </w:p>
        </w:tc>
      </w:tr>
      <w:tr>
        <w:trPr>
          <w:trHeight w:val="126"/>
        </w:trPr>
        <w:tc>
          <w:tcPr>
            <w:tcW w:w="3940" w:type="dxa"/>
            <w:vAlign w:val="bottom"/>
            <w:gridSpan w:val="2"/>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7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Canada:</w:t>
            </w:r>
          </w:p>
        </w:tc>
        <w:tc>
          <w:tcPr>
            <w:tcW w:w="1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w w:val="97"/>
              </w:rPr>
              <w:t>Aphria One (Cannabis Cultivation and Processing)</w:t>
            </w:r>
          </w:p>
        </w:tc>
        <w:tc>
          <w:tcPr>
            <w:tcW w:w="1820" w:type="dxa"/>
            <w:vAlign w:val="bottom"/>
          </w:tcPr>
          <w:p>
            <w:pPr>
              <w:ind w:left="120"/>
              <w:spacing w:after="0"/>
              <w:rPr>
                <w:sz w:val="20"/>
                <w:szCs w:val="20"/>
                <w:color w:val="auto"/>
              </w:rPr>
            </w:pPr>
            <w:r>
              <w:rPr>
                <w:rFonts w:ascii="Arial" w:cs="Arial" w:eastAsia="Arial" w:hAnsi="Arial"/>
                <w:sz w:val="18"/>
                <w:szCs w:val="18"/>
                <w:color w:val="auto"/>
              </w:rPr>
              <w:t>Leamington, ON</w:t>
            </w:r>
          </w:p>
        </w:tc>
        <w:tc>
          <w:tcPr>
            <w:tcW w:w="1960" w:type="dxa"/>
            <w:vAlign w:val="bottom"/>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70"/>
        </w:trPr>
        <w:tc>
          <w:tcPr>
            <w:tcW w:w="5760" w:type="dxa"/>
            <w:vAlign w:val="bottom"/>
            <w:gridSpan w:val="3"/>
            <w:shd w:val="clear" w:color="auto" w:fill="CCEEFF"/>
          </w:tcPr>
          <w:p>
            <w:pPr>
              <w:spacing w:after="0" w:line="269" w:lineRule="exact"/>
              <w:rPr>
                <w:sz w:val="20"/>
                <w:szCs w:val="20"/>
                <w:color w:val="auto"/>
              </w:rPr>
            </w:pPr>
            <w:r>
              <w:rPr>
                <w:rFonts w:ascii="Arial" w:cs="Arial" w:eastAsia="Arial" w:hAnsi="Arial"/>
                <w:sz w:val="17"/>
                <w:szCs w:val="17"/>
                <w:color w:val="auto"/>
              </w:rPr>
              <w:t xml:space="preserve">1974568 Ontario Ltd. (operating as “Aphria Diamond”) </w:t>
            </w:r>
            <w:r>
              <w:rPr>
                <w:rFonts w:ascii="Arial" w:cs="Arial" w:eastAsia="Arial" w:hAnsi="Arial"/>
                <w:sz w:val="31"/>
                <w:szCs w:val="31"/>
                <w:color w:val="auto"/>
                <w:vertAlign w:val="subscript"/>
              </w:rPr>
              <w:t>Leamington, ON</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Owned</w:t>
            </w:r>
            <w:r>
              <w:rPr>
                <w:rFonts w:ascii="Arial" w:cs="Arial" w:eastAsia="Arial" w:hAnsi="Arial"/>
                <w:sz w:val="29"/>
                <w:szCs w:val="29"/>
                <w:color w:val="auto"/>
                <w:vertAlign w:val="superscript"/>
              </w:rPr>
              <w:t>1</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(Cannabis Cultivation)</w:t>
            </w:r>
          </w:p>
        </w:tc>
        <w:tc>
          <w:tcPr>
            <w:tcW w:w="18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w w:val="93"/>
              </w:rPr>
              <w:t>Broken Coast (Cannabis Cultivation and Processing)</w:t>
            </w:r>
          </w:p>
        </w:tc>
        <w:tc>
          <w:tcPr>
            <w:tcW w:w="1820" w:type="dxa"/>
            <w:vAlign w:val="bottom"/>
          </w:tcPr>
          <w:p>
            <w:pPr>
              <w:ind w:left="120"/>
              <w:spacing w:after="0"/>
              <w:rPr>
                <w:sz w:val="20"/>
                <w:szCs w:val="20"/>
                <w:color w:val="auto"/>
              </w:rPr>
            </w:pPr>
            <w:r>
              <w:rPr>
                <w:rFonts w:ascii="Arial" w:cs="Arial" w:eastAsia="Arial" w:hAnsi="Arial"/>
                <w:sz w:val="18"/>
                <w:szCs w:val="18"/>
                <w:color w:val="auto"/>
                <w:w w:val="96"/>
              </w:rPr>
              <w:t>Vancouver Island, BC</w:t>
            </w:r>
          </w:p>
        </w:tc>
        <w:tc>
          <w:tcPr>
            <w:tcW w:w="1960" w:type="dxa"/>
            <w:vAlign w:val="bottom"/>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Avanti (EU-GMP Cannabis Processing and Lab)</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Brampton, ON</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w w:val="97"/>
              </w:rPr>
              <w:t>Tilray North America Campus (EU-GMP Cannabis</w:t>
            </w: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rPr>
              <w:t>Nanaimo, BC</w:t>
            </w:r>
          </w:p>
        </w:tc>
        <w:tc>
          <w:tcPr>
            <w:tcW w:w="1960" w:type="dxa"/>
            <w:vAlign w:val="bottom"/>
            <w:vMerge w:val="restart"/>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vMerge w:val="restart"/>
          </w:tcPr>
          <w:p>
            <w:pPr>
              <w:ind w:left="380"/>
              <w:spacing w:after="0"/>
              <w:rPr>
                <w:sz w:val="20"/>
                <w:szCs w:val="20"/>
                <w:color w:val="auto"/>
              </w:rPr>
            </w:pPr>
            <w:r>
              <w:rPr>
                <w:rFonts w:ascii="Arial" w:cs="Arial" w:eastAsia="Arial" w:hAnsi="Arial"/>
                <w:sz w:val="18"/>
                <w:szCs w:val="18"/>
                <w:color w:val="auto"/>
              </w:rPr>
              <w:t>Owned</w:t>
            </w:r>
            <w:r>
              <w:rPr>
                <w:rFonts w:ascii="Arial" w:cs="Arial" w:eastAsia="Arial" w:hAnsi="Arial"/>
                <w:sz w:val="29"/>
                <w:szCs w:val="29"/>
                <w:color w:val="auto"/>
                <w:vertAlign w:val="superscript"/>
              </w:rPr>
              <w:t>2</w:t>
            </w:r>
          </w:p>
        </w:tc>
        <w:tc>
          <w:tcPr>
            <w:tcW w:w="1760" w:type="dxa"/>
            <w:vAlign w:val="bottom"/>
            <w:vMerge w:val="restart"/>
          </w:tcPr>
          <w:p>
            <w:pPr>
              <w:ind w:left="1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176"/>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Cultivation and Processing)</w:t>
            </w:r>
          </w:p>
        </w:tc>
        <w:tc>
          <w:tcPr>
            <w:tcW w:w="182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gridSpan w:val="2"/>
            <w:vMerge w:val="continue"/>
          </w:tcPr>
          <w:p>
            <w:pPr>
              <w:spacing w:after="0"/>
              <w:rPr>
                <w:sz w:val="4"/>
                <w:szCs w:val="4"/>
                <w:color w:val="auto"/>
              </w:rPr>
            </w:pPr>
          </w:p>
        </w:tc>
        <w:tc>
          <w:tcPr>
            <w:tcW w:w="1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 Park Farms (Cannabis Cultivation and</w:t>
            </w:r>
          </w:p>
        </w:tc>
        <w:tc>
          <w:tcPr>
            <w:tcW w:w="18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Enniskillen, ON</w:t>
            </w:r>
          </w:p>
        </w:tc>
        <w:tc>
          <w:tcPr>
            <w:tcW w:w="19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Leased</w:t>
            </w:r>
            <w:r>
              <w:rPr>
                <w:rFonts w:ascii="Arial" w:cs="Arial" w:eastAsia="Arial" w:hAnsi="Arial"/>
                <w:sz w:val="29"/>
                <w:szCs w:val="29"/>
                <w:color w:val="auto"/>
                <w:vertAlign w:val="superscript"/>
              </w:rPr>
              <w:t>2</w:t>
            </w:r>
          </w:p>
        </w:tc>
        <w:tc>
          <w:tcPr>
            <w:tcW w:w="1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626,000</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20" w:type="dxa"/>
            <w:vAlign w:val="bottom"/>
            <w:tcBorders>
              <w:bottom w:val="single" w:sz="8" w:color="CCEEFF"/>
            </w:tcBorders>
            <w:vMerge w:val="continue"/>
            <w:shd w:val="clear" w:color="auto" w:fill="CCEEFF"/>
          </w:tcPr>
          <w:p>
            <w:pPr>
              <w:spacing w:after="0"/>
              <w:rPr>
                <w:sz w:val="18"/>
                <w:szCs w:val="18"/>
                <w:color w:val="auto"/>
              </w:rPr>
            </w:pPr>
          </w:p>
        </w:tc>
        <w:tc>
          <w:tcPr>
            <w:tcW w:w="1960" w:type="dxa"/>
            <w:vAlign w:val="bottom"/>
            <w:tcBorders>
              <w:bottom w:val="single" w:sz="8" w:color="CCEEFF"/>
            </w:tcBorders>
            <w:vMerge w:val="continue"/>
            <w:shd w:val="clear" w:color="auto" w:fill="CCEEFF"/>
          </w:tcPr>
          <w:p>
            <w:pPr>
              <w:spacing w:after="0"/>
              <w:rPr>
                <w:sz w:val="18"/>
                <w:szCs w:val="18"/>
                <w:color w:val="auto"/>
              </w:rPr>
            </w:pPr>
          </w:p>
        </w:tc>
        <w:tc>
          <w:tcPr>
            <w:tcW w:w="1760" w:type="dxa"/>
            <w:vAlign w:val="bottom"/>
            <w:tcBorders>
              <w:bottom w:val="single" w:sz="8" w:color="CCEEFF"/>
            </w:tcBorders>
            <w:vMerge w:val="continue"/>
            <w:shd w:val="clear" w:color="auto" w:fill="CCEEFF"/>
          </w:tcPr>
          <w:p>
            <w:pPr>
              <w:spacing w:after="0"/>
              <w:rPr>
                <w:sz w:val="18"/>
                <w:szCs w:val="18"/>
                <w:color w:val="auto"/>
              </w:rPr>
            </w:pPr>
          </w:p>
        </w:tc>
        <w:tc>
          <w:tcPr>
            <w:tcW w:w="17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High Park Holdings (Cannabis 2.0 Processing)</w:t>
            </w:r>
          </w:p>
        </w:tc>
        <w:tc>
          <w:tcPr>
            <w:tcW w:w="1820" w:type="dxa"/>
            <w:vAlign w:val="bottom"/>
          </w:tcPr>
          <w:p>
            <w:pPr>
              <w:ind w:left="120"/>
              <w:spacing w:after="0"/>
              <w:rPr>
                <w:sz w:val="20"/>
                <w:szCs w:val="20"/>
                <w:color w:val="auto"/>
              </w:rPr>
            </w:pPr>
            <w:r>
              <w:rPr>
                <w:rFonts w:ascii="Arial" w:cs="Arial" w:eastAsia="Arial" w:hAnsi="Arial"/>
                <w:sz w:val="18"/>
                <w:szCs w:val="18"/>
                <w:color w:val="auto"/>
              </w:rPr>
              <w:t>London, ON</w:t>
            </w:r>
          </w:p>
        </w:tc>
        <w:tc>
          <w:tcPr>
            <w:tcW w:w="1960" w:type="dxa"/>
            <w:vAlign w:val="bottom"/>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tcPr>
          <w:p>
            <w:pPr>
              <w:ind w:left="380"/>
              <w:spacing w:after="0"/>
              <w:rPr>
                <w:sz w:val="20"/>
                <w:szCs w:val="20"/>
                <w:color w:val="auto"/>
              </w:rPr>
            </w:pPr>
            <w:r>
              <w:rPr>
                <w:rFonts w:ascii="Arial" w:cs="Arial" w:eastAsia="Arial" w:hAnsi="Arial"/>
                <w:sz w:val="18"/>
                <w:szCs w:val="18"/>
                <w:color w:val="auto"/>
              </w:rPr>
              <w:t>Leased</w:t>
            </w:r>
          </w:p>
        </w:tc>
        <w:tc>
          <w:tcPr>
            <w:tcW w:w="1760" w:type="dxa"/>
            <w:vAlign w:val="bottom"/>
          </w:tcPr>
          <w:p>
            <w:pPr>
              <w:ind w:left="18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 Harvest (Hemp Processing)</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Winnipeg, MB</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Wellness</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Leased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Manitoba Harvest (Hemp Processing)</w:t>
            </w:r>
          </w:p>
        </w:tc>
        <w:tc>
          <w:tcPr>
            <w:tcW w:w="1820" w:type="dxa"/>
            <w:vAlign w:val="bottom"/>
          </w:tcPr>
          <w:p>
            <w:pPr>
              <w:ind w:left="120"/>
              <w:spacing w:after="0"/>
              <w:rPr>
                <w:sz w:val="20"/>
                <w:szCs w:val="20"/>
                <w:color w:val="auto"/>
              </w:rPr>
            </w:pPr>
            <w:r>
              <w:rPr>
                <w:rFonts w:ascii="Arial" w:cs="Arial" w:eastAsia="Arial" w:hAnsi="Arial"/>
                <w:sz w:val="18"/>
                <w:szCs w:val="18"/>
                <w:color w:val="auto"/>
              </w:rPr>
              <w:t>St. Agathe, MB</w:t>
            </w:r>
          </w:p>
        </w:tc>
        <w:tc>
          <w:tcPr>
            <w:tcW w:w="1960" w:type="dxa"/>
            <w:vAlign w:val="bottom"/>
          </w:tcPr>
          <w:p>
            <w:pPr>
              <w:ind w:left="80"/>
              <w:spacing w:after="0"/>
              <w:rPr>
                <w:sz w:val="20"/>
                <w:szCs w:val="20"/>
                <w:color w:val="auto"/>
              </w:rPr>
            </w:pPr>
            <w:r>
              <w:rPr>
                <w:rFonts w:ascii="Arial" w:cs="Arial" w:eastAsia="Arial" w:hAnsi="Arial"/>
                <w:sz w:val="18"/>
                <w:szCs w:val="18"/>
                <w:color w:val="auto"/>
              </w:rPr>
              <w:t>Wellness</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SweetWater Brewery (Craft Brewery)</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Atlanta, GA</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Beverage Alcohol</w:t>
            </w:r>
          </w:p>
        </w:tc>
        <w:tc>
          <w:tcPr>
            <w:tcW w:w="17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Owned</w:t>
            </w:r>
            <w:r>
              <w:rPr>
                <w:rFonts w:ascii="Arial" w:cs="Arial" w:eastAsia="Arial" w:hAnsi="Arial"/>
                <w:sz w:val="25"/>
                <w:szCs w:val="25"/>
                <w:color w:val="auto"/>
                <w:vertAlign w:val="superscript"/>
              </w:rPr>
              <w:t>3</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SweetWater Colorado (Craft Brewery)</w:t>
            </w:r>
          </w:p>
        </w:tc>
        <w:tc>
          <w:tcPr>
            <w:tcW w:w="1820" w:type="dxa"/>
            <w:vAlign w:val="bottom"/>
          </w:tcPr>
          <w:p>
            <w:pPr>
              <w:ind w:left="120"/>
              <w:spacing w:after="0"/>
              <w:rPr>
                <w:sz w:val="20"/>
                <w:szCs w:val="20"/>
                <w:color w:val="auto"/>
              </w:rPr>
            </w:pPr>
            <w:r>
              <w:rPr>
                <w:rFonts w:ascii="Arial" w:cs="Arial" w:eastAsia="Arial" w:hAnsi="Arial"/>
                <w:sz w:val="18"/>
                <w:szCs w:val="18"/>
                <w:color w:val="auto"/>
              </w:rPr>
              <w:t>Fort Collins, CO</w:t>
            </w:r>
          </w:p>
        </w:tc>
        <w:tc>
          <w:tcPr>
            <w:tcW w:w="1960" w:type="dxa"/>
            <w:vAlign w:val="bottom"/>
          </w:tcPr>
          <w:p>
            <w:pPr>
              <w:ind w:left="80"/>
              <w:spacing w:after="0"/>
              <w:rPr>
                <w:sz w:val="20"/>
                <w:szCs w:val="20"/>
                <w:color w:val="auto"/>
              </w:rPr>
            </w:pPr>
            <w:r>
              <w:rPr>
                <w:rFonts w:ascii="Arial" w:cs="Arial" w:eastAsia="Arial" w:hAnsi="Arial"/>
                <w:sz w:val="18"/>
                <w:szCs w:val="18"/>
                <w:color w:val="auto"/>
              </w:rPr>
              <w:t>Beverage Alcohol</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Breckenridge Distillery</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Breckenridge, CO</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Breckenridge Distillery Warehouse</w:t>
            </w:r>
          </w:p>
        </w:tc>
        <w:tc>
          <w:tcPr>
            <w:tcW w:w="1820" w:type="dxa"/>
            <w:vAlign w:val="bottom"/>
          </w:tcPr>
          <w:p>
            <w:pPr>
              <w:ind w:left="120"/>
              <w:spacing w:after="0"/>
              <w:rPr>
                <w:sz w:val="20"/>
                <w:szCs w:val="20"/>
                <w:color w:val="auto"/>
              </w:rPr>
            </w:pPr>
            <w:r>
              <w:rPr>
                <w:rFonts w:ascii="Arial" w:cs="Arial" w:eastAsia="Arial" w:hAnsi="Arial"/>
                <w:sz w:val="18"/>
                <w:szCs w:val="18"/>
                <w:color w:val="auto"/>
              </w:rPr>
              <w:t>Denver, CO</w:t>
            </w:r>
          </w:p>
        </w:tc>
        <w:tc>
          <w:tcPr>
            <w:tcW w:w="1960" w:type="dxa"/>
            <w:vAlign w:val="bottom"/>
          </w:tcPr>
          <w:p>
            <w:pPr>
              <w:ind w:left="80"/>
              <w:spacing w:after="0"/>
              <w:rPr>
                <w:sz w:val="20"/>
                <w:szCs w:val="20"/>
                <w:color w:val="auto"/>
              </w:rPr>
            </w:pPr>
            <w:r>
              <w:rPr>
                <w:rFonts w:ascii="Arial" w:cs="Arial" w:eastAsia="Arial" w:hAnsi="Arial"/>
                <w:sz w:val="18"/>
                <w:szCs w:val="18"/>
                <w:color w:val="auto"/>
              </w:rPr>
              <w:t>Beverage Alcohol</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Montauk Brewing Company</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Montauk, NY</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Fort Collins (CBD extraction site)</w:t>
            </w:r>
          </w:p>
        </w:tc>
        <w:tc>
          <w:tcPr>
            <w:tcW w:w="1820" w:type="dxa"/>
            <w:vAlign w:val="bottom"/>
          </w:tcPr>
          <w:p>
            <w:pPr>
              <w:ind w:left="120"/>
              <w:spacing w:after="0"/>
              <w:rPr>
                <w:sz w:val="20"/>
                <w:szCs w:val="20"/>
                <w:color w:val="auto"/>
              </w:rPr>
            </w:pPr>
            <w:r>
              <w:rPr>
                <w:rFonts w:ascii="Arial" w:cs="Arial" w:eastAsia="Arial" w:hAnsi="Arial"/>
                <w:sz w:val="18"/>
                <w:szCs w:val="18"/>
                <w:color w:val="auto"/>
              </w:rPr>
              <w:t>Fort Collins, CO</w:t>
            </w:r>
          </w:p>
        </w:tc>
        <w:tc>
          <w:tcPr>
            <w:tcW w:w="1960" w:type="dxa"/>
            <w:vAlign w:val="bottom"/>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1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Tilray EU Campus and Cultivation Site (Cannabis</w:t>
            </w:r>
          </w:p>
        </w:tc>
        <w:tc>
          <w:tcPr>
            <w:tcW w:w="18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5"/>
              </w:rPr>
              <w:t>Cantanhede, Portugal</w:t>
            </w:r>
          </w:p>
        </w:tc>
        <w:tc>
          <w:tcPr>
            <w:tcW w:w="19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Owned</w:t>
            </w:r>
            <w:r>
              <w:rPr>
                <w:rFonts w:ascii="Arial" w:cs="Arial" w:eastAsia="Arial" w:hAnsi="Arial"/>
                <w:sz w:val="29"/>
                <w:szCs w:val="29"/>
                <w:color w:val="auto"/>
                <w:vertAlign w:val="superscript"/>
              </w:rPr>
              <w:t>4</w:t>
            </w:r>
          </w:p>
        </w:tc>
        <w:tc>
          <w:tcPr>
            <w:tcW w:w="1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Cultivation and Processing)</w:t>
            </w:r>
          </w:p>
        </w:tc>
        <w:tc>
          <w:tcPr>
            <w:tcW w:w="1820" w:type="dxa"/>
            <w:vAlign w:val="bottom"/>
            <w:tcBorders>
              <w:bottom w:val="single" w:sz="8" w:color="CCEEFF"/>
            </w:tcBorders>
            <w:vMerge w:val="continue"/>
            <w:shd w:val="clear" w:color="auto" w:fill="CCEEFF"/>
          </w:tcPr>
          <w:p>
            <w:pPr>
              <w:spacing w:after="0"/>
              <w:rPr>
                <w:sz w:val="18"/>
                <w:szCs w:val="18"/>
                <w:color w:val="auto"/>
              </w:rPr>
            </w:pPr>
          </w:p>
        </w:tc>
        <w:tc>
          <w:tcPr>
            <w:tcW w:w="1960" w:type="dxa"/>
            <w:vAlign w:val="bottom"/>
            <w:tcBorders>
              <w:bottom w:val="single" w:sz="8" w:color="CCEEFF"/>
            </w:tcBorders>
            <w:vMerge w:val="continue"/>
            <w:shd w:val="clear" w:color="auto" w:fill="CCEEFF"/>
          </w:tcPr>
          <w:p>
            <w:pPr>
              <w:spacing w:after="0"/>
              <w:rPr>
                <w:sz w:val="18"/>
                <w:szCs w:val="18"/>
                <w:color w:val="auto"/>
              </w:rPr>
            </w:pPr>
          </w:p>
        </w:tc>
        <w:tc>
          <w:tcPr>
            <w:tcW w:w="1760" w:type="dxa"/>
            <w:vAlign w:val="bottom"/>
            <w:tcBorders>
              <w:bottom w:val="single" w:sz="8" w:color="CCEEFF"/>
            </w:tcBorders>
            <w:vMerge w:val="continue"/>
            <w:shd w:val="clear" w:color="auto" w:fill="CCEEFF"/>
          </w:tcPr>
          <w:p>
            <w:pPr>
              <w:spacing w:after="0"/>
              <w:rPr>
                <w:sz w:val="18"/>
                <w:szCs w:val="18"/>
                <w:color w:val="auto"/>
              </w:rPr>
            </w:pPr>
          </w:p>
        </w:tc>
        <w:tc>
          <w:tcPr>
            <w:tcW w:w="17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CC Pharma (Distribution Operations)</w:t>
            </w:r>
          </w:p>
        </w:tc>
        <w:tc>
          <w:tcPr>
            <w:tcW w:w="1820" w:type="dxa"/>
            <w:vAlign w:val="bottom"/>
          </w:tcPr>
          <w:p>
            <w:pPr>
              <w:ind w:left="120"/>
              <w:spacing w:after="0"/>
              <w:rPr>
                <w:sz w:val="20"/>
                <w:szCs w:val="20"/>
                <w:color w:val="auto"/>
              </w:rPr>
            </w:pPr>
            <w:r>
              <w:rPr>
                <w:rFonts w:ascii="Arial" w:cs="Arial" w:eastAsia="Arial" w:hAnsi="Arial"/>
                <w:sz w:val="18"/>
                <w:szCs w:val="18"/>
                <w:color w:val="auto"/>
              </w:rPr>
              <w:t>Densborn, Germany</w:t>
            </w:r>
          </w:p>
        </w:tc>
        <w:tc>
          <w:tcPr>
            <w:tcW w:w="1960" w:type="dxa"/>
            <w:vAlign w:val="bottom"/>
          </w:tcPr>
          <w:p>
            <w:pPr>
              <w:ind w:left="80"/>
              <w:spacing w:after="0"/>
              <w:rPr>
                <w:sz w:val="20"/>
                <w:szCs w:val="20"/>
                <w:color w:val="auto"/>
              </w:rPr>
            </w:pPr>
            <w:r>
              <w:rPr>
                <w:rFonts w:ascii="Arial" w:cs="Arial" w:eastAsia="Arial" w:hAnsi="Arial"/>
                <w:sz w:val="18"/>
                <w:szCs w:val="18"/>
                <w:color w:val="auto"/>
              </w:rPr>
              <w:t>Distribution</w:t>
            </w:r>
          </w:p>
        </w:tc>
        <w:tc>
          <w:tcPr>
            <w:tcW w:w="1760" w:type="dxa"/>
            <w:vAlign w:val="bottom"/>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tcPr>
          <w:p>
            <w:pPr>
              <w:ind w:left="1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Aphria RX (Cannabis Cultivation)</w:t>
            </w: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Neumünster, Germany</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FL Group Srl (Distribution Operations)</w:t>
            </w:r>
          </w:p>
        </w:tc>
        <w:tc>
          <w:tcPr>
            <w:tcW w:w="1820" w:type="dxa"/>
            <w:vAlign w:val="bottom"/>
          </w:tcPr>
          <w:p>
            <w:pPr>
              <w:ind w:left="120"/>
              <w:spacing w:after="0"/>
              <w:rPr>
                <w:sz w:val="20"/>
                <w:szCs w:val="20"/>
                <w:color w:val="auto"/>
              </w:rPr>
            </w:pPr>
            <w:r>
              <w:rPr>
                <w:rFonts w:ascii="Arial" w:cs="Arial" w:eastAsia="Arial" w:hAnsi="Arial"/>
                <w:sz w:val="18"/>
                <w:szCs w:val="18"/>
                <w:color w:val="auto"/>
              </w:rPr>
              <w:t>Vado Ligure, Italy</w:t>
            </w:r>
          </w:p>
        </w:tc>
        <w:tc>
          <w:tcPr>
            <w:tcW w:w="1960" w:type="dxa"/>
            <w:vAlign w:val="bottom"/>
          </w:tcPr>
          <w:p>
            <w:pPr>
              <w:ind w:left="80"/>
              <w:spacing w:after="0"/>
              <w:rPr>
                <w:sz w:val="20"/>
                <w:szCs w:val="20"/>
                <w:color w:val="auto"/>
              </w:rPr>
            </w:pPr>
            <w:r>
              <w:rPr>
                <w:rFonts w:ascii="Arial" w:cs="Arial" w:eastAsia="Arial" w:hAnsi="Arial"/>
                <w:sz w:val="18"/>
                <w:szCs w:val="18"/>
                <w:color w:val="auto"/>
              </w:rPr>
              <w:t>Cannabis</w:t>
            </w:r>
          </w:p>
        </w:tc>
        <w:tc>
          <w:tcPr>
            <w:tcW w:w="1760" w:type="dxa"/>
            <w:vAlign w:val="bottom"/>
          </w:tcPr>
          <w:p>
            <w:pPr>
              <w:ind w:left="380"/>
              <w:spacing w:after="0"/>
              <w:rPr>
                <w:sz w:val="20"/>
                <w:szCs w:val="20"/>
                <w:color w:val="auto"/>
              </w:rPr>
            </w:pPr>
            <w:r>
              <w:rPr>
                <w:rFonts w:ascii="Arial" w:cs="Arial" w:eastAsia="Arial" w:hAnsi="Arial"/>
                <w:sz w:val="18"/>
                <w:szCs w:val="18"/>
                <w:color w:val="auto"/>
              </w:rPr>
              <w:t>Leased</w:t>
            </w:r>
          </w:p>
        </w:tc>
        <w:tc>
          <w:tcPr>
            <w:tcW w:w="1760" w:type="dxa"/>
            <w:vAlign w:val="bottom"/>
          </w:tcPr>
          <w:p>
            <w:pPr>
              <w:ind w:left="18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ABP (Distribution Operations)</w:t>
            </w: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Buenos Aires, Argentina Distribution</w:t>
            </w:r>
          </w:p>
        </w:tc>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Leased</w:t>
            </w:r>
          </w:p>
        </w:tc>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0" w:hanging="332"/>
        <w:spacing w:after="0" w:line="187" w:lineRule="auto"/>
        <w:tabs>
          <w:tab w:leader="none" w:pos="340" w:val="left"/>
        </w:tabs>
        <w:numPr>
          <w:ilvl w:val="0"/>
          <w:numId w:val="20"/>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Aphria Diamond is a 51% majority-owned subsidiary of Aphria, Inc. Aphria Diamond is a strategic venture with Double Diamond Farms.</w:t>
      </w:r>
    </w:p>
    <w:p>
      <w:pPr>
        <w:ind w:left="340" w:hanging="332"/>
        <w:spacing w:after="0" w:line="181" w:lineRule="auto"/>
        <w:tabs>
          <w:tab w:leader="none" w:pos="34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5"/>
          <w:szCs w:val="15"/>
          <w:i w:val="1"/>
          <w:iCs w:val="1"/>
          <w:color w:val="auto"/>
        </w:rPr>
        <w:t>We announced our decision to close these facilities in Enniskillen, ON and Nanaimo, BC. These facilities have ceased operations.</w:t>
      </w:r>
    </w:p>
    <w:p>
      <w:pPr>
        <w:ind w:left="340" w:hanging="332"/>
        <w:spacing w:after="0" w:line="180" w:lineRule="auto"/>
        <w:tabs>
          <w:tab w:leader="none" w:pos="34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5"/>
          <w:szCs w:val="15"/>
          <w:i w:val="1"/>
          <w:iCs w:val="1"/>
          <w:color w:val="auto"/>
        </w:rPr>
        <w:t>We purchased the building during the year.</w:t>
      </w:r>
    </w:p>
    <w:p>
      <w:pPr>
        <w:spacing w:after="0" w:line="2" w:lineRule="exact"/>
        <w:rPr>
          <w:sz w:val="20"/>
          <w:szCs w:val="20"/>
          <w:color w:val="auto"/>
        </w:rPr>
      </w:pPr>
    </w:p>
    <w:p>
      <w:pPr>
        <w:ind w:left="340" w:hanging="332"/>
        <w:spacing w:after="0" w:line="187" w:lineRule="auto"/>
        <w:tabs>
          <w:tab w:leader="none" w:pos="340" w:val="left"/>
        </w:tabs>
        <w:numPr>
          <w:ilvl w:val="0"/>
          <w:numId w:val="23"/>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 Cantanhede, Portugal, we own one cultivation and manufacturing location used for medical cannabis and land adjacent to this facility for future expansion.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lease space for other smaller offices in the United States, Canada, Europe and other parts of the world.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our facilities and committed leased space are currently adequate to meet our needs. As we continue to expand our operations, we may need to acquire or lease additional facilities or dispose of existing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information called for by this item is incorporated herein by reference to Note 27,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Consolidated Financial Statements included in Part II, Item 8 of this Form 10-K.</w:t>
      </w:r>
    </w:p>
    <w:p>
      <w:pPr>
        <w:spacing w:after="0" w:line="166"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Select Market under the symbol “TLRY.”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24, 2023, there were approximately 703,257,224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common stock to date. It is our current intention to not declare or pay any dividends for the foreseeable future as we intend to utilize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common stock is limited by the terms of the Aphria Diamond credit facility, as well as any future debt or preferred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issuance of common stock described below, unless otherwise noted, were exempt from registration under Section 4(2) of the Securities Act 1933 in transactions by an issuer not involving a public offering and no underwriter participated in the offer and sale of the shares issued pursuant to the foregoing issuances, and no commission or other remuneration was paid or given directly or indirectly in connection therewith.</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30, 2022, Tilray entered into an assignment and assumption agreement with Double Diamond Holdings Ltd. (“DDH”), an Ontario corporation, pursuant to which, among other things, Tilray acquired from DDH a promissory note in the amount of $5,063,709 (the “Note”) payable by 1974568 Ontario Limited (“Aphria Diamond”). DDH is a joint venturer with Aphria Inc. (Tilray’s wholly-owned subsidiary) in Aphria Diamond. As consideration for the Note, Tilray issued 1,529,821 shares of its common stock to DDH.</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12, 2022, Tilray acquired from HT Investments MA LLC (“HTI”) all of the outstanding principal and interest under a secured convertible note (the “HEXO Note”) issued by HEXO Corp. (“HEXO”) with certain amendments, pursuant to the amended and restated assignment and assumption agreement, dated as of June 14, 2022. As consideration for the acquisition of the HEXO Note, Tilray paid a purchase price in an aggregate amount equal to $155 million, which purchase price was satisfied through the issuance to HTI of 33,314,412 shares of Tilray’s common stock and the issuance of a newly issued $50 million convertible promissory note.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1, 2022, the Company issued 10,276,305 shares of Tilray's common stock to DDH in connection with the assignment from DDH to the Company of a promissory note payable by 1974568 Ontario Limited.</w:t>
      </w:r>
    </w:p>
    <w:p>
      <w:pPr>
        <w:spacing w:after="0" w:line="170" w:lineRule="exact"/>
        <w:rPr>
          <w:sz w:val="20"/>
          <w:szCs w:val="20"/>
          <w:color w:val="auto"/>
        </w:rPr>
      </w:pPr>
    </w:p>
    <w:p>
      <w:pPr>
        <w:jc w:val="both"/>
        <w:ind w:left="160" w:firstLine="486"/>
        <w:spacing w:after="0" w:line="277" w:lineRule="auto"/>
        <w:rPr>
          <w:sz w:val="20"/>
          <w:szCs w:val="20"/>
          <w:color w:val="auto"/>
        </w:rPr>
      </w:pPr>
      <w:r>
        <w:rPr>
          <w:rFonts w:ascii="Arial" w:cs="Arial" w:eastAsia="Arial" w:hAnsi="Arial"/>
          <w:sz w:val="18"/>
          <w:szCs w:val="18"/>
          <w:color w:val="auto"/>
        </w:rPr>
        <w:t>On December 5, 2022, the Company issued 1,979,541 shares of Tilray's common stock to DDH in connection with the assignment from DDH to the Company of a promissory note payable by 1974568 Ontario Limited.</w:t>
      </w:r>
    </w:p>
    <w:p>
      <w:pPr>
        <w:spacing w:after="0" w:line="170" w:lineRule="exact"/>
        <w:rPr>
          <w:sz w:val="20"/>
          <w:szCs w:val="20"/>
          <w:color w:val="auto"/>
        </w:rPr>
      </w:pPr>
    </w:p>
    <w:p>
      <w:pPr>
        <w:jc w:val="both"/>
        <w:ind w:left="160" w:firstLine="486"/>
        <w:spacing w:after="0" w:line="277" w:lineRule="auto"/>
        <w:rPr>
          <w:sz w:val="20"/>
          <w:szCs w:val="20"/>
          <w:color w:val="auto"/>
        </w:rPr>
      </w:pPr>
      <w:r>
        <w:rPr>
          <w:rFonts w:ascii="Arial" w:cs="Arial" w:eastAsia="Arial" w:hAnsi="Arial"/>
          <w:sz w:val="18"/>
          <w:szCs w:val="18"/>
          <w:color w:val="auto"/>
        </w:rPr>
        <w:t>On February 21, 2023, the Company issued 2,328,739 shares of Tilray's common stock to DDH in connection with the assignment from DDH to the Company of a promissory note payable by 1974568 Ontario Limited.</w:t>
      </w:r>
    </w:p>
    <w:p>
      <w:pPr>
        <w:spacing w:after="0" w:line="170" w:lineRule="exact"/>
        <w:rPr>
          <w:sz w:val="20"/>
          <w:szCs w:val="20"/>
          <w:color w:val="auto"/>
        </w:rPr>
      </w:pPr>
    </w:p>
    <w:p>
      <w:pPr>
        <w:jc w:val="both"/>
        <w:ind w:left="160" w:firstLine="486"/>
        <w:spacing w:after="0" w:line="255" w:lineRule="auto"/>
        <w:rPr>
          <w:sz w:val="20"/>
          <w:szCs w:val="20"/>
          <w:color w:val="auto"/>
        </w:rPr>
      </w:pPr>
      <w:r>
        <w:rPr>
          <w:rFonts w:ascii="Arial" w:cs="Arial" w:eastAsia="Arial" w:hAnsi="Arial"/>
          <w:sz w:val="18"/>
          <w:szCs w:val="18"/>
          <w:color w:val="auto"/>
        </w:rPr>
        <w:t>On May 30, 2023, the Company issued 38,500,000 shares of Tilray's common stock as part of a share lending agreement with an affiliate of Jefferies LLC in connection with the registered offering of $150 million of unsecured convertible senior notes. The net proceeds from this offering were used to finance the concurrent repurchase of a portion of its outstanding 5.00% Convertible Senior Notes due 2023 (TLRY 23) and 5.25% Convertible Senior Notes due 2024 (APHA 24), as described in Note 17 (Convertible debentures payable). On June 9, 2023, the Company issued an additional $22.5 million of unsecured convertible senior notes by way of overallotment bringing the outstanding balance to $172.5 million as described in Note 30 (Subsequent events).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graph compares the performance of our common stock to the Nasdaq Composite and the Horizons Marijuana Life Sciences Index for the period from July 18, 2018, date of initial public offering, through May 31, 2023 in comparison to the indicated indexes. The results assume that $100, which was invested on July 18, 2018 in our common stock and each of the indicated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262890</wp:posOffset>
            </wp:positionV>
            <wp:extent cx="6951980" cy="2794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519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May 31,</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Tilray Brands,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Nasdaq Composite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95.24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121.27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175.70</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154.86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Horizons Marijuana Life Sciences Index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44.93</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Discussion and Analysis of Financial Condition and Results of Operations is intended to help the reader understand our operations and our present business environment from the perspective of management. You should read the following discussion and analysis of our financial condition and results of operations together with the </w:t>
      </w:r>
      <w:r>
        <w:rPr>
          <w:rFonts w:ascii="Arial" w:cs="Arial" w:eastAsia="Arial" w:hAnsi="Arial"/>
          <w:sz w:val="17"/>
          <w:szCs w:val="17"/>
          <w:color w:val="auto"/>
        </w:rPr>
        <w:t>“</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the sections in Part I entitled </w:t>
      </w:r>
      <w:r>
        <w:rPr>
          <w:rFonts w:ascii="Arial" w:cs="Arial" w:eastAsia="Arial" w:hAnsi="Arial"/>
          <w:sz w:val="17"/>
          <w:szCs w:val="17"/>
          <w:color w:val="auto"/>
        </w:rPr>
        <w:t>“</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financial information and the notes thereto included in Part II, Item 8 of this Form 10-K in this Annual Report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fiscal year ended May 31, 2023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We use certain non-GAAP measures that are more fully described below under the caption </w:t>
      </w:r>
      <w:r>
        <w:rPr>
          <w:rFonts w:ascii="Arial" w:cs="Arial" w:eastAsia="Arial" w:hAnsi="Arial"/>
          <w:sz w:val="17"/>
          <w:szCs w:val="17"/>
          <w:color w:val="auto"/>
        </w:rPr>
        <w:t>“—</w:t>
      </w:r>
      <w:r>
        <w:rPr>
          <w:rFonts w:ascii="Arial" w:cs="Arial" w:eastAsia="Arial" w:hAnsi="Arial"/>
          <w:sz w:val="17"/>
          <w:szCs w:val="17"/>
          <w:i w:val="1"/>
          <w:iCs w:val="1"/>
          <w:color w:val="auto"/>
        </w:rPr>
        <w:t>Use of Non-GAAP Measures,</w:t>
      </w:r>
      <w:r>
        <w:rPr>
          <w:rFonts w:ascii="Arial" w:cs="Arial" w:eastAsia="Arial" w:hAnsi="Arial"/>
          <w:sz w:val="17"/>
          <w:szCs w:val="17"/>
          <w:color w:val="auto"/>
        </w:rPr>
        <w:t>”</w:t>
      </w:r>
      <w:r>
        <w:rPr>
          <w:rFonts w:ascii="Arial" w:cs="Arial" w:eastAsia="Arial" w:hAnsi="Arial"/>
          <w:sz w:val="17"/>
          <w:szCs w:val="17"/>
          <w:i w:val="1"/>
          <w:iCs w:val="1"/>
          <w:color w:val="auto"/>
        </w:rPr>
        <w:t xml:space="preserve"> which we believe are appropriate supplemental non-GAAP measures to evaluate our business and operations, measure our performance, identify trends affecting our business, project our future performance, and make strategic decisions.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Amounts are presented in thousands of United States dollars, except for shares, warrants, per share data and per warrant data or as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leading global cannabis-lifestyle and consumer packaged goods company headquartered in Leamington and New York, with operations in Canada, the United States, Europe, Australia, and Latin America that is changing people’s lives for the better – one person at a time – by inspiring and empowering a worldwide community to live their very best life, enhanced by moments of connection and wellbeing. Tilray’s mission is to be the most responsible, trusted and market leading cannabis consumer products company in the world with a portfolio of innovative, high-quality and beloved brands that address the needs of the consumers, customers and patients we serve.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overall strategy is to leverage our brands, infrastructure, expertise and capabilities to drive market share in the industries in which we compete,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and entries into new geographies. In addition, we are relentlessly focused on managing our cost of goods and expenses in order to maintain our strong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cannabis market trends.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cannabis industry in Canada continues to evolve at a rapid pace during the early periods following the federal legalization of adult-use cannabis. Through analysis of the current market conditions, the following key trends have emerged and are anticipated to influence the near-term future in the industry:</w:t>
      </w:r>
    </w:p>
    <w:p>
      <w:pPr>
        <w:spacing w:after="0" w:line="184" w:lineRule="exact"/>
        <w:rPr>
          <w:sz w:val="20"/>
          <w:szCs w:val="20"/>
          <w:color w:val="auto"/>
        </w:rPr>
      </w:pPr>
    </w:p>
    <w:p>
      <w:pPr>
        <w:jc w:val="both"/>
        <w:ind w:left="480" w:hanging="191"/>
        <w:spacing w:after="0" w:line="263"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Price compression. </w:t>
      </w:r>
      <w:r>
        <w:rPr>
          <w:rFonts w:ascii="Arial" w:cs="Arial" w:eastAsia="Arial" w:hAnsi="Arial"/>
          <w:sz w:val="18"/>
          <w:szCs w:val="18"/>
          <w:color w:val="auto"/>
        </w:rPr>
        <w:t>We have historically seen price compression in the market, when compared to the prior fiscal year, which was driven by intense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from the approximately 1,000 Licensed Producers in Canada. The price compression year over year has reduced the Company's revenue by approximately $32.8 million for the year ended May 31, 2023.</w:t>
      </w:r>
    </w:p>
    <w:p>
      <w:pPr>
        <w:spacing w:after="0" w:line="183" w:lineRule="exact"/>
        <w:rPr>
          <w:rFonts w:ascii="Arial" w:cs="Arial" w:eastAsia="Arial" w:hAnsi="Arial"/>
          <w:sz w:val="18"/>
          <w:szCs w:val="18"/>
          <w:color w:val="auto"/>
        </w:rPr>
      </w:pPr>
    </w:p>
    <w:p>
      <w:pPr>
        <w:jc w:val="both"/>
        <w:ind w:left="480" w:hanging="191"/>
        <w:spacing w:after="0" w:line="255" w:lineRule="auto"/>
        <w:tabs>
          <w:tab w:leader="none" w:pos="4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Excise taxes. </w:t>
      </w:r>
      <w:r>
        <w:rPr>
          <w:rFonts w:ascii="Arial" w:cs="Arial" w:eastAsia="Arial" w:hAnsi="Arial"/>
          <w:sz w:val="18"/>
          <w:szCs w:val="18"/>
          <w:color w:val="auto"/>
        </w:rPr>
        <w:t>Given the impacts of the above-referenced price compression, excise tax has grown to become a larger component of net revenue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predominantly computed as a fixed price on grams sold rather than as a percentage of the selling price. The Cannabis Council of Canada has formed an Excise Task Force to present these challenges to the Ministry of Finance in Canada and continues to pursue reform. Additionally, as many as two-thirds of Canadian licensed producers had excise tax deficits owed, which they were unable to pay on time. The Company believes this will be a key element of potential consolidation in the industry and we believe long term there is a possibility of some level of reform but it will likely not occur in the next 12 months;</w:t>
      </w:r>
    </w:p>
    <w:p>
      <w:pPr>
        <w:spacing w:after="0" w:line="192" w:lineRule="exact"/>
        <w:rPr>
          <w:rFonts w:ascii="Arial" w:cs="Arial" w:eastAsia="Arial" w:hAnsi="Arial"/>
          <w:sz w:val="18"/>
          <w:szCs w:val="18"/>
          <w:i w:val="1"/>
          <w:iCs w:val="1"/>
          <w:color w:val="auto"/>
        </w:rPr>
      </w:pPr>
    </w:p>
    <w:p>
      <w:pPr>
        <w:jc w:val="both"/>
        <w:ind w:left="480" w:hanging="191"/>
        <w:spacing w:after="0" w:line="275"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Market share</w:t>
      </w:r>
      <w:r>
        <w:rPr>
          <w:rFonts w:ascii="Arial" w:cs="Arial" w:eastAsia="Arial" w:hAnsi="Arial"/>
          <w:sz w:val="17"/>
          <w:szCs w:val="17"/>
          <w:color w:val="auto"/>
        </w:rPr>
        <w:t>. Tilray continues to maintain its market leadership position in Canada and we experienced an increase in share from 8.1% to an 8.3%</w:t>
      </w:r>
      <w:r>
        <w:rPr>
          <w:rFonts w:ascii="Arial" w:cs="Arial" w:eastAsia="Arial" w:hAnsi="Arial"/>
          <w:sz w:val="17"/>
          <w:szCs w:val="17"/>
          <w:i w:val="1"/>
          <w:iCs w:val="1"/>
          <w:color w:val="auto"/>
        </w:rPr>
        <w:t xml:space="preserve"> </w:t>
      </w:r>
      <w:r>
        <w:rPr>
          <w:rFonts w:ascii="Arial" w:cs="Arial" w:eastAsia="Arial" w:hAnsi="Arial"/>
          <w:sz w:val="17"/>
          <w:szCs w:val="17"/>
          <w:color w:val="auto"/>
        </w:rPr>
        <w:t>market share, from the immediately preceding quarter, as reported by Hifyre data for all provinces excluding Quebec where Weedcrawler was deemed more accurate. This increase in the final quarter of the year, was attributed to our relentless dedication to our innovation pipeline which we anticipate to keep driving market share increases in the coming fiscal year. This increase was offset by challenges in the province of Quebec during the year, which had a negative impact on adult-use revenue during the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left="480" w:hanging="191"/>
        <w:spacing w:after="0" w:line="311"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Change in potency preferences</w:t>
      </w:r>
      <w:r>
        <w:rPr>
          <w:rFonts w:ascii="Arial" w:cs="Arial" w:eastAsia="Arial" w:hAnsi="Arial"/>
          <w:sz w:val="16"/>
          <w:szCs w:val="16"/>
          <w:color w:val="auto"/>
        </w:rPr>
        <w:t>. Evolving consumer demand for higher potency products has caused a substantial shift in consumer purchasing</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We revised our flower strategy to remain innovative and evolve with the industry, launching a large volume of new beta flower strains in the current year which continue to be newly listed in the provinces during the remainder of the fiscal year to contend with this change in demand.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These identified trends have had impacts on the current period results of operations and are discussed in greater detail in the respective section.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cannabis market trends.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(Netherlands, Switzerland) and some are debating regulations for cannabinoid-based medicine (France, Spain, Italy, and the United Kingdom). In Europe, we believe that, despite continuing recessionary economic conditions and the Russian conflict with Ukraine, cannabis legalization (both medicinal and adult-use) will continue to gain traction albeit more slowly than originally expected. We also continue to believe that Tilray remains uniquely positioned to maintain and gain significant market share in these markets with its infrastructure and its investments, which is comprised of two EU-GMP cultivation facilities within Europe located in Portugal and Germany, our distribution network and our demonstrated commitment to the availability, quality and safety of our cannabinoid-based medical products. Today, Germany remains the largest medical cannabis market in Europe.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state of cannabis legalization within Europe: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new coalition government led by chancellor Olaf Schulz declared its intention to legalize adult-use cannabis use, which aims to</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the controlled dispensing of cannabis for adult-use consumption. In late October 2022, the German government published key details of its plan to legalize and regulate adult-use cannabis, including what Health Minister Karl Lauterbach described as “complete” cultivation within the country. Subsequently, Lauterbach announced that a first draft of the proposed regulations shall be issued in the first quarter of calendar year 2023, which will be evaluated by the European Union Commission in a formal notification procedure.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Recently, Mr. Lauterbach advised that the proposal had been revised and that the new plan is a two-part model, which appears to be designed in order to legalize cannabis as broadly as possibly without running afoul of European Union rules. On July 6, 2023, it was announced that the draft regulations pertaining to decriminalization, home cultivation and non-commercial “cultivation associations” (i.e., social clubs) had been finalized by the health ministry and was ready to be delivered to the German parliament.</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continue to believe that Tilray is well-positioned in Germany to provide consistent and sustainable cannabis products for the adult-use market whether only in-country cultivation is permitted or whether imports are also allowed given our Aphria RX facility located in Germany and our EU-GMP-certified production facility in Portugal, as well as our distribution platform, which provides us with access to 13,000 pharmacies in Germany.</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In October 2021, Switzerland announced its intention to legalize cannabis by allowing production, cultivation, trade,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In the meantime, a three-year pilot project commenced on January 30, 2023, which permits selected participants to purchase cannabis for adult-use in various pharmacies in Basel, and more recently in Zurich, to conduct studies on the cannabis market and its impact on Swiss society. It is the first trial for the legal distribution of adult-use cannabis containing THC in Europe.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Spain. </w:t>
      </w:r>
      <w:r>
        <w:rPr>
          <w:rFonts w:ascii="Arial" w:cs="Arial" w:eastAsia="Arial" w:hAnsi="Arial"/>
          <w:sz w:val="18"/>
          <w:szCs w:val="18"/>
          <w:color w:val="auto"/>
        </w:rPr>
        <w:t>The Spanish Congress' Health Committee has recently approved a Medical Cannabis Report that paves the way for a government-sponsored bill on medical cannabis. The Report explicitly opens the door to standardized preparations other than the drugs already approved, highlighting their advantages in relation to safety, security and stability; as well as the possibility to prescribe medical cannabis in community pharmacies and not only in hospitals, favoring the access to the patients that may need it.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France</w:t>
      </w:r>
      <w:r>
        <w:rPr>
          <w:rFonts w:ascii="Arial" w:cs="Arial" w:eastAsia="Arial" w:hAnsi="Arial"/>
          <w:sz w:val="18"/>
          <w:szCs w:val="18"/>
          <w:color w:val="auto"/>
        </w:rPr>
        <w:t>. France launched a two-year pilot experiment to supply approximately 3,000 patients with medical cannabis. To date, 2,300 patients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enrolled in the experiment, which has been extended for another year and is now ending March 2024 in order to collect more data and to adopt a legal framework. The first results of the experimentation are positive. Several independent agencies have produced reports that show the effectiveness of medical cannabis, especially in situations of chronic pain.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Czech Republic. </w:t>
      </w:r>
      <w:r>
        <w:rPr>
          <w:rFonts w:ascii="Arial" w:cs="Arial" w:eastAsia="Arial" w:hAnsi="Arial"/>
          <w:sz w:val="16"/>
          <w:szCs w:val="16"/>
          <w:color w:val="auto"/>
        </w:rPr>
        <w:t>The Czech Republic has discussed plans to launch a fully regulated adult-use cannabis market in first half of calendar year 2023.</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Malta</w:t>
      </w:r>
      <w:r>
        <w:rPr>
          <w:rFonts w:ascii="Arial" w:cs="Arial" w:eastAsia="Arial" w:hAnsi="Arial"/>
          <w:sz w:val="18"/>
          <w:szCs w:val="18"/>
          <w:color w:val="auto"/>
        </w:rPr>
        <w:t>. In 2021, became the first country in the European Union to legalize personal possession of the drug and permit private “cannabis clubs,”</w:t>
      </w:r>
      <w:r>
        <w:rPr>
          <w:rFonts w:ascii="Arial" w:cs="Arial" w:eastAsia="Arial" w:hAnsi="Arial"/>
          <w:sz w:val="18"/>
          <w:szCs w:val="18"/>
          <w:i w:val="1"/>
          <w:iCs w:val="1"/>
          <w:color w:val="auto"/>
        </w:rPr>
        <w:t xml:space="preserve"> </w:t>
      </w:r>
      <w:r>
        <w:rPr>
          <w:rFonts w:ascii="Arial" w:cs="Arial" w:eastAsia="Arial" w:hAnsi="Arial"/>
          <w:sz w:val="18"/>
          <w:szCs w:val="18"/>
          <w:color w:val="auto"/>
        </w:rPr>
        <w:t>where members can grow and share the drug.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Beverage alcohol market trends.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beverage alcohol category, while more established, continues to shift with changes in consumer trends for the craft industry. Specifically, based on IRI data for the last 10 weeks ended May 31, 2023, the US beer industry declined 0.6%, with craft beer down 2.7% during the same period SweetWater however, outperformed both the US craft beer market and the US beer industry in the same period as the brand grew 7.7% on total sales for multi-outlet. The Company anticipates continuing to grow its beer sales by expanding distribution points of its SweetWater, Green Flash, Alpine and Montauk brands as well as launching innovative products such as hard seltzers, rose beer, lager, hazy IPAs and pale ales to continue to be a market leader in the craft beer industry.</w:t>
      </w:r>
    </w:p>
    <w:p>
      <w:pPr>
        <w:spacing w:after="0" w:line="192" w:lineRule="exact"/>
        <w:rPr>
          <w:sz w:val="20"/>
          <w:szCs w:val="20"/>
          <w:color w:val="auto"/>
        </w:rPr>
      </w:pPr>
    </w:p>
    <w:p>
      <w:pPr>
        <w:jc w:val="both"/>
        <w:ind w:left="160" w:firstLine="486"/>
        <w:spacing w:after="0" w:line="272" w:lineRule="auto"/>
        <w:rPr>
          <w:sz w:val="20"/>
          <w:szCs w:val="20"/>
          <w:color w:val="auto"/>
        </w:rPr>
      </w:pPr>
      <w:r>
        <w:rPr>
          <w:rFonts w:ascii="Arial" w:cs="Arial" w:eastAsia="Arial" w:hAnsi="Arial"/>
          <w:sz w:val="17"/>
          <w:szCs w:val="17"/>
          <w:color w:val="auto"/>
        </w:rPr>
        <w:t>Breckenridge Distillery is a leader in the Colorado bourbon industry and continues to gain market share in both the vodka and gin markets. A primary growth objective is to continue expansion of market share across the United States, as well as expanding the national chains footprint, to maintain a double-digit annual top-line growth. To ensure continued growth in the future, the company is focused on expanding the marketing strategy, highlighting its quality products. Breckenridge Distillery’s commitment to quality has been recognized in recent awards by Whisky Magazine as the World's Best Blended, Best American Blended Malt, Best American Blended Limited Release, and Best American Blended. The overall bourbon market continues to grow, although competition from tequila and RTD’s remains a challenge. The integration of the national distributer agreement signed with RNDC in Fall 2022 has been slow, but will also be a growth driver for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 market trends.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Manitoba Harvest’s branded hemp business continued to expand its U.S. and Canadian leading market share position this year. These market share gains were offset by many customers reducing inventory levels amidst the current economic climate to conserve cash. During the year, the Company successfully expanded its Hemp Food portfolio into more accessible consumer formats and launched a breakthrough CBD wellness beverage, Happy Flower™. The Company will look to expand the Happy Flower™ brand with retail distribution into key markets, focusing on states with established CBD permissibility and sales momentum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Strategic Transactions and Synergies</w:t>
      </w:r>
    </w:p>
    <w:p>
      <w:pPr>
        <w:spacing w:after="0" w:line="229" w:lineRule="exact"/>
        <w:rPr>
          <w:sz w:val="20"/>
          <w:szCs w:val="20"/>
          <w:color w:val="auto"/>
        </w:rPr>
      </w:pPr>
    </w:p>
    <w:p>
      <w:pPr>
        <w:jc w:val="both"/>
        <w:ind w:firstLine="722"/>
        <w:spacing w:after="0" w:line="290" w:lineRule="auto"/>
        <w:rPr>
          <w:sz w:val="20"/>
          <w:szCs w:val="20"/>
          <w:color w:val="auto"/>
        </w:rPr>
      </w:pPr>
      <w:r>
        <w:rPr>
          <w:rFonts w:ascii="Arial" w:cs="Arial" w:eastAsia="Arial" w:hAnsi="Arial"/>
          <w:sz w:val="16"/>
          <w:szCs w:val="16"/>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costs as we combine acquired companies and continue to achieve synergies, which is offset by income generated in connection with the execution of these transactions. For the year ended May 31, 2023, we incurred $1.6 million of transaction costs, net of recoveries.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acquisition and wind down strategy has had a material impact on the Company’s results in the current quarter and we expect will continue to persist into future periods generating accretive impacts for our stockholders. There are currently three primary cost saving initiatives as follows:</w:t>
      </w:r>
    </w:p>
    <w:p>
      <w:pPr>
        <w:spacing w:after="0" w:line="124"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Tilray and HEXO strategic alliance and Arrangement Agreement: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12, 2022, Tilray acquired the HEXO Convertible Note from HTI and entered into a strategic alliance with HEXO Corp. (“HEXO”) as discussed in Note 11 (Convertible notes receivable) and Note 17 (Convertible debentures payable). In addition, Tilray and HEXO entered into various commercial transaction agreements, including (i) an advisory services agreement regarding Tilray’s provision of advisory services to HEXO in exchange for an $18 million annual advisory fee payable to Tilray; (ii) a co-manufacturing agreement providing for third-party manufacturing services between the parties and setting forth the terms of Tilray’s international bulk supply to HEXO; and (iii) a procurement and cost savings agreement for shared savings related to specified optimization activities, procurement, and other similar cost savings realized by the parties as a result of the foregoing commercial arrangements.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Through this strategic alliance, Tilray achieved substantial cash savings and production efficiencies. In the year ended May 31, 2023, the Company recognized $40.4 million of advisory services revenue included in Canadian adult-use cannabis revenue. Included in interest expense, net is $7.7 million of interest income for the year ended May 31, 2023. The Company earned $47.9 from this transaction during the year, which exceeded the initial target of $40 million to be earned during the first 12 month period in connection with the HEXO Convertible Note transaction.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On April 10, 2023, Tilray entered into an Arrangement Agreement to purchase 100% of the outstanding shares of HEXO to be satisfied through the issuance of 0.4352 of Tilray Common Stock for each outstanding HEXO share, see Note 30 (Subsequent events). The acquisition of HEXO builds on the successful strategic alliance between the two companies and positions Tilray for continued strong growth and market leadership in Canada, the largest federally legal cannabis market in the world. The company expects to realize $25 million of additional synergies over the first two years from the transaction close date.</w:t>
      </w:r>
    </w:p>
    <w:p>
      <w:pPr>
        <w:spacing w:after="0" w:line="188"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Canadian Cannabis business cost reduction plan: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our fourth quarter of our fiscal year ended May 31, 2022, the Company launched a $30 million cost optimization plan of our existing cannabis business to solidify our position as an industry leading low-cost producer. The Company took decisive action to manage cash flow amid an evolving retail environment by identifying opportunities to leverage technology, supply chain, procurement, and packaging efficiencies while driving labor savings. During the year ended May 31, 2023, we have achieved $22 million of our cost optimization plan on an annualized run-rate basis of which $18.5 million represented actual cost savings during the period. The amount achieved is comprised of the following items:</w:t>
      </w:r>
    </w:p>
    <w:p>
      <w:pPr>
        <w:spacing w:after="0" w:line="176" w:lineRule="exact"/>
        <w:rPr>
          <w:sz w:val="20"/>
          <w:szCs w:val="20"/>
          <w:color w:val="auto"/>
        </w:rPr>
      </w:pPr>
    </w:p>
    <w:p>
      <w:pPr>
        <w:ind w:left="660" w:hanging="19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Optimizing cultivation</w:t>
      </w:r>
      <w:r>
        <w:rPr>
          <w:rFonts w:ascii="Arial" w:cs="Arial" w:eastAsia="Arial" w:hAnsi="Arial"/>
          <w:sz w:val="18"/>
          <w:szCs w:val="18"/>
          <w:color w:val="auto"/>
        </w:rPr>
        <w:t>. We made impactful strides to right-size our cultivation footprint by maximizing our yield per plant and by honing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flex production during optimal growing seasons to manage our cost to grow.</w:t>
      </w:r>
    </w:p>
    <w:p>
      <w:pPr>
        <w:spacing w:after="0" w:line="170" w:lineRule="exact"/>
        <w:rPr>
          <w:rFonts w:ascii="Arial" w:cs="Arial" w:eastAsia="Arial" w:hAnsi="Arial"/>
          <w:sz w:val="18"/>
          <w:szCs w:val="18"/>
          <w:color w:val="auto"/>
        </w:rPr>
      </w:pPr>
    </w:p>
    <w:p>
      <w:pPr>
        <w:ind w:left="660" w:hanging="19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Refining selling fees. </w:t>
      </w:r>
      <w:r>
        <w:rPr>
          <w:rFonts w:ascii="Arial" w:cs="Arial" w:eastAsia="Arial" w:hAnsi="Arial"/>
          <w:sz w:val="18"/>
          <w:szCs w:val="18"/>
          <w:color w:val="auto"/>
        </w:rPr>
        <w:t>We assessed our current product-to-market strategy to optimize our direct and controllable selling fees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without compromising our sales strategy on a go-forward basis.</w:t>
      </w:r>
    </w:p>
    <w:p>
      <w:pPr>
        <w:spacing w:after="0" w:line="170" w:lineRule="exact"/>
        <w:rPr>
          <w:rFonts w:ascii="Arial" w:cs="Arial" w:eastAsia="Arial" w:hAnsi="Arial"/>
          <w:sz w:val="18"/>
          <w:szCs w:val="18"/>
          <w:color w:val="auto"/>
        </w:rPr>
      </w:pPr>
    </w:p>
    <w:p>
      <w:pPr>
        <w:jc w:val="both"/>
        <w:ind w:left="660" w:hanging="19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Reducing general and administrative costs</w:t>
      </w:r>
      <w:r>
        <w:rPr>
          <w:rFonts w:ascii="Arial" w:cs="Arial" w:eastAsia="Arial" w:hAnsi="Arial"/>
          <w:sz w:val="18"/>
          <w:szCs w:val="18"/>
          <w:color w:val="auto"/>
        </w:rPr>
        <w:t>. We remain focused on reducing operating expenses by leveraging innovative solutions to maintain a</w:t>
      </w:r>
      <w:r>
        <w:rPr>
          <w:rFonts w:ascii="Arial" w:cs="Arial" w:eastAsia="Arial" w:hAnsi="Arial"/>
          <w:sz w:val="18"/>
          <w:szCs w:val="18"/>
          <w:i w:val="1"/>
          <w:iCs w:val="1"/>
          <w:color w:val="auto"/>
        </w:rPr>
        <w:t xml:space="preserve"> </w:t>
      </w:r>
      <w:r>
        <w:rPr>
          <w:rFonts w:ascii="Arial" w:cs="Arial" w:eastAsia="Arial" w:hAnsi="Arial"/>
          <w:sz w:val="18"/>
          <w:szCs w:val="18"/>
          <w:color w:val="auto"/>
        </w:rPr>
        <w:t>lean organization. We plan to further automate processes, reducing outside spend where efficient, and ensuring we are obtaining competitive pricing on our administrative services.</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b w:val="1"/>
          <w:bCs w:val="1"/>
          <w:i w:val="1"/>
          <w:iCs w:val="1"/>
          <w:color w:val="auto"/>
        </w:rPr>
        <w:t>International Cannabis business cost reduction plan:</w:t>
      </w:r>
    </w:p>
    <w:p>
      <w:pPr>
        <w:spacing w:after="0" w:line="25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During our fiscal year ended May 31 2023, the Company launched an $8.0 million cost optimization plan for our international cannabis business to adapt to changing market dynamics and slower than anticipated legalization in Europe. During the year, the Company achieved an annualized run-rate basis of $6.2 million of cost savings. This was driven by the integration of our Distribution and European cannabis business for redundant costs including headcount consolidation in addition to optimization of our facility utilization.</w:t>
      </w:r>
    </w:p>
    <w:p>
      <w:pPr>
        <w:spacing w:after="0" w:line="200" w:lineRule="exact"/>
        <w:rPr>
          <w:sz w:val="20"/>
          <w:szCs w:val="20"/>
          <w:color w:val="auto"/>
        </w:rPr>
      </w:pPr>
    </w:p>
    <w:p>
      <w:pPr>
        <w:spacing w:after="0" w:line="203" w:lineRule="exact"/>
        <w:rPr>
          <w:sz w:val="20"/>
          <w:szCs w:val="20"/>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Tilray-Aphria Arrangement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Tilray-Aphria Arrangement Agreement, we committed to achieving $80 million, subsequently increased to $100 million, of synergies in connection with the integration of Tilray and Aphria and developed a robust plan and timeline to achieve such synergies. In executing our integration plan, we evaluated and optimized the organizational structure, evaluated and retained the talent and capabilities we identified as necessary to achieve our longer-term growth plan and vision, reviewed contracts and arrangements, and analyzed our supply chain and our strategic partnerships. Due to the Company’s actions in connection with the integration of Tilray and Aphria, during the prior fiscal year ended May 31, 2022, we exceeded the identified $80 million of cost synergies by $5 million and achieved such synergies ahead of our plan.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year ended May 31, 2023, the Company achieved the remaining $15 million of the targeted $100 million in cost-saving synergies on an annualized run-rate basis. While this milestone marks the completion of the Tilray and Aphria Arrangement Agreement synergy plan, the Company intends to continue to prioritize cost saving initiatives in the future while remaining committed to our growth plan and vision.</w:t>
      </w:r>
    </w:p>
    <w:p>
      <w:pPr>
        <w:spacing w:after="0" w:line="143" w:lineRule="exact"/>
        <w:rPr>
          <w:sz w:val="20"/>
          <w:szCs w:val="20"/>
          <w:color w:val="auto"/>
        </w:rPr>
      </w:pPr>
    </w:p>
    <w:p>
      <w:pPr>
        <w:ind w:left="1140" w:hanging="430"/>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18"/>
          <w:szCs w:val="18"/>
          <w:b w:val="1"/>
          <w:bCs w:val="1"/>
          <w:i w:val="1"/>
          <w:iCs w:val="1"/>
          <w:color w:val="auto"/>
        </w:rPr>
        <w:t>Strategic transactions related to facility closures and exits: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evaluating the profitability of our CC Pharma distribution business, Tilray decided to discontinue its partnership in a medical device reprocessing business given it was not core to CC Pharma's business and was both dilutive from a profitability and cash flow perspective. In connection with evaluating the profitability of our international cannabis business, Tilray also discontinued transactions with one of its customers in Israel to focus on markets which we believe are more accretive to our profitability and cash flow. In addition, Tilray terminated its relationship with a supplier in Uruguay due to a breach of the underlying contract. During the year ended May 31, 2023 the Company sold its interest in ASG Pharma Ltd., a wholly-owned subsidiary incorporated in Malta.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720" w:firstLine="648"/>
        <w:spacing w:after="0" w:line="277" w:lineRule="auto"/>
        <w:rPr>
          <w:sz w:val="20"/>
          <w:szCs w:val="20"/>
          <w:color w:val="auto"/>
        </w:rPr>
      </w:pPr>
      <w:r>
        <w:rPr>
          <w:rFonts w:ascii="Arial" w:cs="Arial" w:eastAsia="Arial" w:hAnsi="Arial"/>
          <w:sz w:val="18"/>
          <w:szCs w:val="18"/>
          <w:color w:val="auto"/>
        </w:rPr>
        <w:t>As a result of these strategic business decisions, there were the following impacts on the results for the year ended May 31, 2023 aggregating $9.3 million which increased our net loss, summarized as follows:</w:t>
      </w:r>
    </w:p>
    <w:p>
      <w:pPr>
        <w:spacing w:after="0" w:line="170" w:lineRule="exact"/>
        <w:rPr>
          <w:sz w:val="20"/>
          <w:szCs w:val="20"/>
          <w:color w:val="auto"/>
        </w:rPr>
      </w:pPr>
    </w:p>
    <w:p>
      <w:pPr>
        <w:ind w:left="660" w:hanging="19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a one-time return adjustment of $3.1 million in our international cannabis revenue from a customer in Israel;</w:t>
      </w:r>
    </w:p>
    <w:p>
      <w:pPr>
        <w:spacing w:after="0" w:line="225" w:lineRule="exact"/>
        <w:rPr>
          <w:rFonts w:ascii="Arial" w:cs="Arial" w:eastAsia="Arial" w:hAnsi="Arial"/>
          <w:sz w:val="18"/>
          <w:szCs w:val="18"/>
          <w:color w:val="auto"/>
        </w:rPr>
      </w:pPr>
    </w:p>
    <w:p>
      <w:pPr>
        <w:ind w:left="660" w:hanging="19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a decrease in gross profit of $1.4 million which related to the above mentioned return from a customer in Israel;</w:t>
      </w:r>
    </w:p>
    <w:p>
      <w:pPr>
        <w:spacing w:after="0" w:line="225" w:lineRule="exact"/>
        <w:rPr>
          <w:rFonts w:ascii="Arial" w:cs="Arial" w:eastAsia="Arial" w:hAnsi="Arial"/>
          <w:sz w:val="18"/>
          <w:szCs w:val="18"/>
          <w:color w:val="auto"/>
        </w:rPr>
      </w:pPr>
    </w:p>
    <w:p>
      <w:pPr>
        <w:ind w:left="660" w:right="100" w:hanging="19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restructuring charges of $1.6 million of exit costs and $2.8 million for inventory adjustments from the termination of our producer partnership in Uruguay due to a breach of the underlying contract;</w:t>
      </w:r>
    </w:p>
    <w:p>
      <w:pPr>
        <w:spacing w:after="0" w:line="170" w:lineRule="exact"/>
        <w:rPr>
          <w:rFonts w:ascii="Arial" w:cs="Arial" w:eastAsia="Arial" w:hAnsi="Arial"/>
          <w:sz w:val="18"/>
          <w:szCs w:val="18"/>
          <w:color w:val="auto"/>
        </w:rPr>
      </w:pPr>
    </w:p>
    <w:p>
      <w:pPr>
        <w:ind w:left="660" w:hanging="19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was an increase to office and general expenses of $1.6 million for a bad debt expense related to the aforementioned customer in Israel; and</w:t>
      </w:r>
    </w:p>
    <w:p>
      <w:pPr>
        <w:spacing w:after="0" w:line="248" w:lineRule="exact"/>
        <w:rPr>
          <w:rFonts w:ascii="Arial" w:cs="Arial" w:eastAsia="Arial" w:hAnsi="Arial"/>
          <w:sz w:val="16"/>
          <w:szCs w:val="16"/>
          <w:color w:val="auto"/>
        </w:rPr>
      </w:pPr>
    </w:p>
    <w:p>
      <w:pPr>
        <w:ind w:left="660" w:right="220" w:hanging="19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recognized a $2.2 million of restructuring costs as a result of CC pharma discontinuing its partnership in the medical reprocessing business.</w:t>
      </w:r>
    </w:p>
    <w:p>
      <w:pPr>
        <w:spacing w:after="0" w:line="170" w:lineRule="exact"/>
        <w:rPr>
          <w:rFonts w:ascii="Arial" w:cs="Arial" w:eastAsia="Arial" w:hAnsi="Arial"/>
          <w:sz w:val="18"/>
          <w:szCs w:val="18"/>
          <w:color w:val="auto"/>
        </w:rPr>
      </w:pPr>
    </w:p>
    <w:p>
      <w:pPr>
        <w:ind w:left="660" w:hanging="19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recognized a $0.3 million gain on the disposal of our investment in ASG Malta in other non-operating (loss) gain,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impacts of the items discussed in this section are assessed further in our analysis of the results of operations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Montauk Brewing Company, Inc.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7, 2022, Tilray acquired Montauk Brewing Company, Inc. (“Montauk”), a leading craft brewer company based in Montauk, New York. As consideration for the acquisition of Montauk, the Company paid after post closing adjustments of $35.1 million, which was paid with $28.7 million in cash and $6.4 million from the issuance of 1,708,521 shares of Tilray's common stock. In the event that Montauk achieves certain volume and/or EBITDA targets on or before December 31, 2025, the stockholders of Montauk shall be eligible to receive as additional contingent cash consideration of up to $18 million. The Company, determined that the closing date fair value of this contingent consideration was $10.2 million. In connection with this transaction, the Company is leveraging SweetWater’s existing nationwide infrastructure and Montauk’s northeast influence to significantly expand our distribution network and drive profitable growth in our beverage-alcohol segment. This distribution network is part of Tilray’s strategy to leverage our growing portfolio of CPG brands and ultimately to launch THC-based product adjacencies upon federal legalization in the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6740" w:type="dxa"/>
            <w:vAlign w:val="bottom"/>
            <w:gridSpan w:val="10"/>
          </w:tcPr>
          <w:p>
            <w:pPr>
              <w:jc w:val="center"/>
              <w:ind w:left="50"/>
              <w:spacing w:after="0"/>
              <w:rPr>
                <w:sz w:val="20"/>
                <w:szCs w:val="20"/>
                <w:color w:val="auto"/>
              </w:rPr>
            </w:pPr>
            <w:r>
              <w:rPr>
                <w:rFonts w:ascii="Arial" w:cs="Arial" w:eastAsia="Arial" w:hAnsi="Arial"/>
                <w:sz w:val="18"/>
                <w:szCs w:val="18"/>
                <w:color w:val="auto"/>
                <w:w w:val="90"/>
              </w:rPr>
              <w:t>Our consolidated results, in millions except for per share data, are as follows: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For the year ended May 31,</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7"/>
              </w:rPr>
              <w:t>Change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2023 vs. 2022</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8"/>
              </w:rPr>
              <w:t>2022 vs. 2021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511,555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389,903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(31,391)</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121,652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34,926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26,576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8,350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115,191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Marketing and promotion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30,934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17,539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13,395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Change in fair value of contingent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(44,650)</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45,505</w:t>
            </w:r>
          </w:p>
        </w:tc>
        <w:tc>
          <w:tcPr>
            <w:tcW w:w="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(44,650)</w:t>
            </w:r>
          </w:p>
        </w:tc>
        <w:tc>
          <w:tcPr>
            <w:tcW w:w="4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378,241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555,759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378,241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5"/>
              </w:rPr>
              <w:t>Other than temporary change in fair value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convertible notes receivable</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246,330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246,330</w:t>
            </w:r>
          </w:p>
        </w:tc>
        <w:tc>
          <w:tcPr>
            <w:tcW w:w="4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Litigation (recovery)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(17,023)</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8,450</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1,063%</w:t>
            </w: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(29,331)</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(29,417)</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1,516,645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255,353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789,427</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900" w:type="dxa"/>
            <w:vAlign w:val="bottom"/>
          </w:tcPr>
          <w:p>
            <w:pPr>
              <w:jc w:val="right"/>
              <w:spacing w:after="0"/>
              <w:rPr>
                <w:sz w:val="20"/>
                <w:szCs w:val="20"/>
                <w:color w:val="auto"/>
              </w:rPr>
            </w:pPr>
            <w:r>
              <w:rPr>
                <w:rFonts w:ascii="Arial" w:cs="Arial" w:eastAsia="Arial" w:hAnsi="Arial"/>
                <w:sz w:val="18"/>
                <w:szCs w:val="18"/>
                <w:color w:val="auto"/>
              </w:rPr>
              <w:t>471,865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0"/>
        </w:trPr>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(1,369,685)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(610,401)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(132,171)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(759,284)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(478,230)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(13,587)</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(27,944)</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(27,977)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14,357</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(66,909)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(184,838)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(264,580)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382,509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(1,450,181)</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(440,674)</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(344,986)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(1,009,507)</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(95,688)</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(1,443,000)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(434,132)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(336,014)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(1,008,868)</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(98,118)</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0"/>
        </w:trPr>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reports its financial results in accordance with U.S. GAAP. However, throughout this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in this Annual Report on Form 10-K, we discuss non-GAAP financial measures, including reference to:</w:t>
      </w:r>
    </w:p>
    <w:p>
      <w:pPr>
        <w:spacing w:after="0" w:line="222"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gross profit (excluding purchase price allocation (“PPA”) step up and inventory valuation allowance) for each reporting segment (Cannabis, Beverage alcohol, Distribution and Wellness),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gross margin (excluding purchase price allocation (“PPA”) step up and inventory valuation allowance) for each reporting segment (Cannabis, Beverage alcohol, Distribution and Wellness),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marketable securities,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constant currency presentation of net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648"/>
        <w:spacing w:after="0" w:line="269" w:lineRule="auto"/>
        <w:rPr>
          <w:sz w:val="20"/>
          <w:szCs w:val="20"/>
          <w:color w:val="auto"/>
        </w:rPr>
      </w:pPr>
      <w:r>
        <w:rPr>
          <w:rFonts w:ascii="Arial" w:cs="Arial" w:eastAsia="Arial" w:hAnsi="Arial"/>
          <w:sz w:val="17"/>
          <w:szCs w:val="17"/>
          <w:color w:val="auto"/>
        </w:rPr>
        <w:t>All these non-GAAP financial measures should be considered in addition to, and not in lieu of, the financial measures calculated and presented in accordance with accounting principles generally accepted in the United States of America, (“GAAP”). These measures are presented to help investors’ overall understanding of our financial performance and should not be considered in isolated or as a substitute for, or superior to, the financial information prepared and presented in accordance with GAAP. Because non-GAAP financial measures are not standardized, it may not be possible to compare these financial measures with other companies' non-GAAP financial measures having the same or similar names. These non-GAAP financial measures reflect an additional way of viewing aspects of operations that, when viewed with U.S. GAAP results, provide a more complete understanding of the business. The Company strongly encourages investors and shareholders to review Company financial statements and publicly filed reports in their entirety and not to rely on any single financial measure. Please see “Reconciliation of Non-GAAP Financial Measures to GAAP Measures” below for a reconciliation of such non-GAAP Measures to the most directly comparable GAAP financial measures, as well as a discussion of our adjusted gross margin, adjusted gross profit and adjusted EBITDA measures and the calculation of such measures.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Constant Currency Presentation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and Marketable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combines the Cash and cash equivalent financial statement line item with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Measures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use the following operating metrics and non-GAAP measures to evaluate our business and operations, measure our performance, identify trends affecting our business, project our future performance, and make strategic decisions. Other companies, including companies in our industry, may calculate non-GAAP measures and operating metrics with similar names differently which may reduce their usefulness as comparative measures.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8"/>
          </w:tcPr>
          <w:p>
            <w:pPr>
              <w:jc w:val="right"/>
              <w:ind w:right="130"/>
              <w:spacing w:after="0"/>
              <w:rPr>
                <w:sz w:val="20"/>
                <w:szCs w:val="20"/>
                <w:color w:val="auto"/>
              </w:rPr>
            </w:pPr>
            <w:r>
              <w:rPr>
                <w:rFonts w:ascii="Arial" w:cs="Arial" w:eastAsia="Arial" w:hAnsi="Arial"/>
                <w:sz w:val="18"/>
                <w:szCs w:val="18"/>
                <w:b w:val="1"/>
                <w:bCs w:val="1"/>
                <w:color w:val="auto"/>
              </w:rPr>
              <w:t>For the years ended May 31,</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cannabis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beverage alcohol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71,492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28,599</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258,770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Wellness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59,611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5,794</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Cannabis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194,834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130,511</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Beverage alcohol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32,033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12,687</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243,231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242,472</w:t>
            </w: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Wellness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41,457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4,233</w:t>
            </w:r>
          </w:p>
        </w:tc>
        <w:tc>
          <w:tcPr>
            <w:tcW w:w="140" w:type="dxa"/>
            <w:vAlign w:val="bottom"/>
          </w:tcPr>
          <w:p>
            <w:pPr>
              <w:spacing w:after="0"/>
              <w:rPr>
                <w:sz w:val="18"/>
                <w:szCs w:val="18"/>
                <w:color w:val="auto"/>
              </w:rPr>
            </w:pPr>
          </w:p>
        </w:tc>
      </w:tr>
      <w:tr>
        <w:trPr>
          <w:trHeight w:val="202"/>
        </w:trPr>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adjusted gross profit (excluding PPA step-up and inventory valuation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206,442</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186,031</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143,936</w:t>
            </w:r>
          </w:p>
        </w:tc>
        <w:tc>
          <w:tcPr>
            <w:tcW w:w="140" w:type="dxa"/>
            <w:vAlign w:val="bottom"/>
            <w:shd w:val="clear" w:color="auto" w:fill="CCEEFF"/>
          </w:tcPr>
          <w:p>
            <w:pPr>
              <w:spacing w:after="0"/>
              <w:rPr>
                <w:sz w:val="20"/>
                <w:szCs w:val="20"/>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Cannabis adjusted gross margin (excluding inventory valuation adjustments)</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 adjusted gross margin (excluding PPA step-up)</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Distribution gross margin (excluding inventory valuation adjustments)</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Wellness gross margin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61,479</w:t>
            </w:r>
          </w:p>
        </w:tc>
        <w:tc>
          <w:tcPr>
            <w:tcW w:w="200" w:type="dxa"/>
            <w:vAlign w:val="bottom"/>
          </w:tcPr>
          <w:p>
            <w:pPr>
              <w:spacing w:after="0"/>
              <w:rPr>
                <w:sz w:val="18"/>
                <w:szCs w:val="18"/>
                <w:color w:val="auto"/>
              </w:rPr>
            </w:pP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48,047</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40,771</w:t>
            </w:r>
          </w:p>
        </w:tc>
        <w:tc>
          <w:tcPr>
            <w:tcW w:w="1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415,909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488,466</w:t>
            </w:r>
          </w:p>
        </w:tc>
        <w:tc>
          <w:tcPr>
            <w:tcW w:w="140" w:type="dxa"/>
            <w:vAlign w:val="bottom"/>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340,050</w:t>
            </w:r>
          </w:p>
        </w:tc>
        <w:tc>
          <w:tcPr>
            <w:tcW w:w="200" w:type="dxa"/>
            <w:vAlign w:val="bottom"/>
          </w:tcPr>
          <w:p>
            <w:pPr>
              <w:spacing w:after="0"/>
              <w:rPr>
                <w:sz w:val="20"/>
                <w:szCs w:val="20"/>
                <w:color w:val="auto"/>
              </w:rPr>
            </w:pP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523,161</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482,368</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jc w:val="right"/>
        <w:ind w:right="140"/>
        <w:spacing w:after="0" w:line="342" w:lineRule="auto"/>
        <w:rPr>
          <w:sz w:val="20"/>
          <w:szCs w:val="20"/>
          <w:color w:val="auto"/>
        </w:rPr>
      </w:pPr>
      <w:r>
        <w:rPr>
          <w:rFonts w:ascii="Arial" w:cs="Arial" w:eastAsia="Arial" w:hAnsi="Arial"/>
          <w:sz w:val="16"/>
          <w:szCs w:val="16"/>
          <w:i w:val="1"/>
          <w:iCs w:val="1"/>
          <w:color w:val="auto"/>
        </w:rPr>
        <w:t xml:space="preserve">(1)Adjusted EBITDA, adjusted gross profit and adjusted gross margin for each of our segments are non-GAAP financial measures. See </w:t>
      </w:r>
      <w:r>
        <w:rPr>
          <w:rFonts w:ascii="Arial" w:cs="Arial" w:eastAsia="Arial" w:hAnsi="Arial"/>
          <w:sz w:val="16"/>
          <w:szCs w:val="16"/>
          <w:color w:val="auto"/>
        </w:rPr>
        <w:t>“</w:t>
      </w:r>
      <w:r>
        <w:rPr>
          <w:rFonts w:ascii="Arial" w:cs="Arial" w:eastAsia="Arial" w:hAnsi="Arial"/>
          <w:sz w:val="16"/>
          <w:szCs w:val="16"/>
          <w:i w:val="1"/>
          <w:iCs w:val="1"/>
          <w:color w:val="auto"/>
        </w:rPr>
        <w:t>Reconciliation of Non-GAAP Financial Measures to GAAP Measures</w:t>
      </w:r>
      <w:r>
        <w:rPr>
          <w:rFonts w:ascii="Arial" w:cs="Arial" w:eastAsia="Arial" w:hAnsi="Arial"/>
          <w:sz w:val="16"/>
          <w:szCs w:val="16"/>
          <w:color w:val="auto"/>
        </w:rPr>
        <w:t>”</w:t>
      </w:r>
      <w:r>
        <w:rPr>
          <w:rFonts w:ascii="Arial" w:cs="Arial" w:eastAsia="Arial" w:hAnsi="Arial"/>
          <w:sz w:val="16"/>
          <w:szCs w:val="16"/>
          <w:i w:val="1"/>
          <w:iCs w:val="1"/>
          <w:color w:val="auto"/>
        </w:rPr>
        <w:t xml:space="preserve"> below for a reconciliation of these Non-GAAP Measures to our most comparable GAAP measure.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reportable segments revenue is primarily comprised of revenues from our cannabis, distribution, wellness and beverage alcohol operations,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rPr>
              <w:t>For the year ended May 31,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Change</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7"/>
              </w:rPr>
              <w:t>Change</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8"/>
              </w:rPr>
              <w:t>2023 vs. 2022</w:t>
            </w:r>
          </w:p>
        </w:tc>
        <w:tc>
          <w:tcPr>
            <w:tcW w:w="3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8"/>
              </w:rPr>
              <w:t>2022 vs. 2021</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Cannabis business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(17,092)</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Distribution business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258,770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259,747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5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(17,553)</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 business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95,093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23,601</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Wellness business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(6,780)</w:t>
            </w:r>
          </w:p>
        </w:tc>
        <w:tc>
          <w:tcPr>
            <w:tcW w:w="5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53,817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r>
      <w:tr>
        <w:trPr>
          <w:trHeight w:val="20"/>
        </w:trPr>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627,124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513,085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115,287</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reportable segments revenue reported in constant currency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1"/>
              </w:rPr>
              <w:t>For the year ended May 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8"/>
              </w:rPr>
              <w:t>as reported in constant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Change</w:t>
            </w:r>
          </w:p>
        </w:tc>
        <w:tc>
          <w:tcPr>
            <w:tcW w:w="12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vs.</w:t>
            </w:r>
          </w:p>
        </w:tc>
        <w:tc>
          <w:tcPr>
            <w:tcW w:w="102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7"/>
                <w:szCs w:val="17"/>
                <w:b w:val="1"/>
                <w:bCs w:val="1"/>
                <w:color w:val="auto"/>
                <w:w w:val="73"/>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Cannabis business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233,227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237,522</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4"/>
              </w:rPr>
              <w:t>(4,295)</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Distribution business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285,115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259,747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25,368</w:t>
            </w:r>
          </w:p>
        </w:tc>
        <w:tc>
          <w:tcPr>
            <w:tcW w:w="32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 business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95,093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71,492</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23,601</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Wellness business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54,429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59,611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(5,182)</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667,864</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628,372</w:t>
            </w:r>
          </w:p>
        </w:tc>
        <w:tc>
          <w:tcPr>
            <w:tcW w:w="200" w:type="dxa"/>
            <w:vAlign w:val="bottom"/>
            <w:tcBorders>
              <w:left w:val="single" w:sz="8" w:color="CCEEFF"/>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39,492</w:t>
            </w:r>
          </w:p>
        </w:tc>
        <w:tc>
          <w:tcPr>
            <w:tcW w:w="320" w:type="dxa"/>
            <w:vAlign w:val="bottom"/>
            <w:tcBorders>
              <w:left w:val="single" w:sz="8" w:color="CCEEFF"/>
              <w:right w:val="single" w:sz="8" w:color="CCEEFF"/>
            </w:tcBorders>
            <w:shd w:val="clear" w:color="auto" w:fill="CCEEFF"/>
          </w:tcPr>
          <w:p>
            <w:pPr>
              <w:spacing w:after="0"/>
              <w:rPr>
                <w:sz w:val="21"/>
                <w:szCs w:val="21"/>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3"/>
        </w:trPr>
        <w:tc>
          <w:tcPr>
            <w:tcW w:w="360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w w:val="95"/>
              </w:rPr>
              <w:t>Our geographic revenue is, as follows:</w:t>
            </w: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7"/>
          </w:tcPr>
          <w:p>
            <w:pPr>
              <w:jc w:val="right"/>
              <w:spacing w:after="0"/>
              <w:rPr>
                <w:sz w:val="20"/>
                <w:szCs w:val="20"/>
                <w:color w:val="auto"/>
              </w:rPr>
            </w:pPr>
            <w:r>
              <w:rPr>
                <w:rFonts w:ascii="Arial" w:cs="Arial" w:eastAsia="Arial" w:hAnsi="Arial"/>
                <w:sz w:val="18"/>
                <w:szCs w:val="18"/>
                <w:b w:val="1"/>
                <w:bCs w:val="1"/>
                <w:color w:val="auto"/>
              </w:rPr>
              <w:t>For the year ended May 31,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5"/>
          </w:tcPr>
          <w:p>
            <w:pPr>
              <w:ind w:left="2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2023 vs. 2022</w:t>
            </w: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2022 vs. 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314,132</w:t>
            </w: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229,120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10,513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tcBorders>
              <w:left w:val="single" w:sz="8" w:color="CCEEFF"/>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85,012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296,911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279,062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(12,344)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17,849</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tcBorders>
              <w:left w:val="single" w:sz="8" w:color="CCEEFF"/>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627,124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628,372</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513,085</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115,287</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480" w:type="dxa"/>
            <w:vAlign w:val="bottom"/>
            <w:gridSpan w:val="6"/>
          </w:tcPr>
          <w:p>
            <w:pPr>
              <w:ind w:left="600"/>
              <w:spacing w:after="0"/>
              <w:rPr>
                <w:sz w:val="20"/>
                <w:szCs w:val="20"/>
                <w:color w:val="auto"/>
              </w:rPr>
            </w:pPr>
            <w:r>
              <w:rPr>
                <w:rFonts w:ascii="Arial" w:cs="Arial" w:eastAsia="Arial" w:hAnsi="Arial"/>
                <w:sz w:val="18"/>
                <w:szCs w:val="18"/>
                <w:color w:val="auto"/>
                <w:w w:val="97"/>
              </w:rPr>
              <w:t>Our geographic revenue in constant currency</w:t>
            </w:r>
            <w:r>
              <w:rPr>
                <w:rFonts w:ascii="Arial" w:cs="Arial" w:eastAsia="Arial" w:hAnsi="Arial"/>
                <w:sz w:val="29"/>
                <w:szCs w:val="29"/>
                <w:color w:val="auto"/>
                <w:w w:val="97"/>
                <w:vertAlign w:val="superscript"/>
              </w:rPr>
              <w:t>(1)</w:t>
            </w:r>
            <w:r>
              <w:rPr>
                <w:rFonts w:ascii="Arial" w:cs="Arial" w:eastAsia="Arial" w:hAnsi="Arial"/>
                <w:sz w:val="18"/>
                <w:szCs w:val="18"/>
                <w:color w:val="auto"/>
                <w:w w:val="97"/>
              </w:rPr>
              <w:t xml:space="preserve"> is, as follows: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For the year ended May 31,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88"/>
              </w:rPr>
              <w:t>as reported in constant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currency</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vs.</w:t>
            </w:r>
          </w:p>
        </w:tc>
        <w:tc>
          <w:tcPr>
            <w:tcW w:w="1100" w:type="dxa"/>
            <w:vAlign w:val="bottom"/>
            <w:tcBorders>
              <w:top w:val="single" w:sz="8" w:color="auto"/>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335,243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314,132</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8"/>
              </w:rPr>
              <w:t>21,111</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309,152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296,911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12,241</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6,140</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667,864</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628,372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39,492</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vMerge w:val="restart"/>
          </w:tcPr>
          <w:p>
            <w:pPr>
              <w:jc w:val="right"/>
              <w:ind w:right="147"/>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3" w:name="page54"/>
    <w:bookmarkEnd w:id="53"/>
    <w:p>
      <w:pPr>
        <w:ind w:left="600"/>
        <w:spacing w:after="0"/>
        <w:rPr>
          <w:sz w:val="20"/>
          <w:szCs w:val="20"/>
          <w:color w:val="auto"/>
        </w:rPr>
      </w:pPr>
      <w:r>
        <w:rPr>
          <w:rFonts w:ascii="Arial" w:cs="Arial" w:eastAsia="Arial" w:hAnsi="Arial"/>
          <w:sz w:val="18"/>
          <w:szCs w:val="18"/>
          <w:color w:val="auto"/>
        </w:rPr>
        <w:t>Our geographic capital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9"/>
          </w:tcPr>
          <w:p>
            <w:pPr>
              <w:jc w:val="right"/>
              <w:ind w:right="240"/>
              <w:spacing w:after="0"/>
              <w:rPr>
                <w:sz w:val="20"/>
                <w:szCs w:val="20"/>
                <w:color w:val="auto"/>
              </w:rPr>
            </w:pPr>
            <w:r>
              <w:rPr>
                <w:rFonts w:ascii="Arial" w:cs="Arial" w:eastAsia="Arial" w:hAnsi="Arial"/>
                <w:sz w:val="18"/>
                <w:szCs w:val="18"/>
                <w:b w:val="1"/>
                <w:bCs w:val="1"/>
                <w:color w:val="auto"/>
                <w:w w:val="92"/>
              </w:rPr>
              <w:t>For the year ended May 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ind w:left="36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2023 vs. 2022</w:t>
            </w: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319,173</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464,370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0"/>
              </w:rPr>
              <w:t>(145,197)</w:t>
            </w: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107,131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119,409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(12,278)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3,363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Total capital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429,667</w:t>
            </w:r>
          </w:p>
        </w:tc>
        <w:tc>
          <w:tcPr>
            <w:tcW w:w="60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587,499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90"/>
              <w:spacing w:after="0"/>
              <w:rPr>
                <w:sz w:val="20"/>
                <w:szCs w:val="20"/>
                <w:color w:val="auto"/>
              </w:rPr>
            </w:pPr>
            <w:r>
              <w:rPr>
                <w:rFonts w:ascii="Arial" w:cs="Arial" w:eastAsia="Arial" w:hAnsi="Arial"/>
                <w:sz w:val="18"/>
                <w:szCs w:val="18"/>
                <w:color w:val="auto"/>
                <w:w w:val="90"/>
              </w:rPr>
              <w:t>(157,832)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Cannabis revenue</w:t>
            </w: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7"/>
          </w:tcPr>
          <w:p>
            <w:pPr>
              <w:ind w:left="660"/>
              <w:spacing w:after="0"/>
              <w:rPr>
                <w:sz w:val="20"/>
                <w:szCs w:val="20"/>
                <w:color w:val="auto"/>
              </w:rPr>
            </w:pPr>
            <w:r>
              <w:rPr>
                <w:rFonts w:ascii="Arial" w:cs="Arial" w:eastAsia="Arial" w:hAnsi="Arial"/>
                <w:sz w:val="18"/>
                <w:szCs w:val="18"/>
                <w:color w:val="auto"/>
              </w:rPr>
              <w:t>Cannabis revenue based on market channel is,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w w:val="90"/>
              </w:rPr>
              <w:t>For the year ended May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2023 vs. 2022</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w w:val="95"/>
              </w:rPr>
              <w:t>2022 vs. 2021</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 from Canadian medical cannabis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6"/>
              </w:rPr>
              <w:t>Revenue from Canadian adult-use cannabis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222,930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21"/>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(13,429)</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 from wholesale cannabis</w:t>
            </w: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(79)%</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Revenue from international cannabis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(10,328)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44,637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cannabis revenue</w:t>
            </w: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264,334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Excise taxes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(63,884)</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(63,369)</w:t>
            </w:r>
          </w:p>
        </w:tc>
        <w:tc>
          <w:tcPr>
            <w:tcW w:w="18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(62,942)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(427)</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cannabis 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(17,092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Cannabis revenue based on market channel in constant currency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For the year ended May 31,</w:t>
            </w:r>
          </w:p>
        </w:tc>
        <w:tc>
          <w:tcPr>
            <w:tcW w:w="180" w:type="dxa"/>
            <w:vAlign w:val="bottom"/>
          </w:tcPr>
          <w:p>
            <w:pPr>
              <w:spacing w:after="0"/>
              <w:rPr>
                <w:sz w:val="18"/>
                <w:szCs w:val="18"/>
                <w:color w:val="auto"/>
              </w:rPr>
            </w:pPr>
          </w:p>
        </w:tc>
        <w:tc>
          <w:tcPr>
            <w:tcW w:w="248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as reported in constant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currency</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6"/>
              </w:rPr>
              <w:t>Change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vs.</w:t>
            </w:r>
          </w:p>
        </w:tc>
        <w:tc>
          <w:tcPr>
            <w:tcW w:w="11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Canadian medical cannabis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(3,987)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 from Canadian adult-use cannabis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225,694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16,193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wholesale cannabis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 from international cannabis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(6,453)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cannabis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Excise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(68,042)</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(63,369)</w:t>
            </w:r>
          </w:p>
        </w:tc>
        <w:tc>
          <w:tcPr>
            <w:tcW w:w="18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cannabis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80" w:right="480" w:hanging="272"/>
        <w:spacing w:after="0" w:line="277" w:lineRule="auto"/>
        <w:tabs>
          <w:tab w:leader="none" w:pos="2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constant currency presentation of our Cannabis revenue based on market channel is a non-GAAP financial measure. See </w:t>
      </w:r>
      <w:r>
        <w:rPr>
          <w:rFonts w:ascii="Arial" w:cs="Arial" w:eastAsia="Arial" w:hAnsi="Arial"/>
          <w:sz w:val="18"/>
          <w:szCs w:val="18"/>
          <w:color w:val="auto"/>
        </w:rPr>
        <w:t>“</w:t>
      </w:r>
      <w:r>
        <w:rPr>
          <w:rFonts w:ascii="Arial" w:cs="Arial" w:eastAsia="Arial" w:hAnsi="Arial"/>
          <w:sz w:val="18"/>
          <w:szCs w:val="18"/>
          <w:i w:val="1"/>
          <w:iCs w:val="1"/>
          <w:color w:val="auto"/>
        </w:rPr>
        <w:t xml:space="preserve">Use of Non-GAAP Measures </w:t>
      </w:r>
      <w:r>
        <w:rPr>
          <w:rFonts w:ascii="Arial" w:cs="Arial" w:eastAsia="Arial" w:hAnsi="Arial"/>
          <w:sz w:val="18"/>
          <w:szCs w:val="18"/>
          <w:color w:val="auto"/>
        </w:rPr>
        <w:t>–</w:t>
      </w:r>
      <w:r>
        <w:rPr>
          <w:rFonts w:ascii="Arial" w:cs="Arial" w:eastAsia="Arial" w:hAnsi="Arial"/>
          <w:sz w:val="18"/>
          <w:szCs w:val="18"/>
          <w:i w:val="1"/>
          <w:iCs w:val="1"/>
          <w:color w:val="auto"/>
        </w:rPr>
        <w:t>Constant Currency Presentation</w:t>
      </w:r>
      <w:r>
        <w:rPr>
          <w:rFonts w:ascii="Arial" w:cs="Arial" w:eastAsia="Arial" w:hAnsi="Arial"/>
          <w:sz w:val="18"/>
          <w:szCs w:val="18"/>
          <w:color w:val="auto"/>
        </w:rPr>
        <w:t>”</w:t>
      </w:r>
      <w:r>
        <w:rPr>
          <w:rFonts w:ascii="Arial" w:cs="Arial" w:eastAsia="Arial" w:hAnsi="Arial"/>
          <w:sz w:val="18"/>
          <w:szCs w:val="18"/>
          <w:i w:val="1"/>
          <w:iCs w:val="1"/>
          <w:color w:val="auto"/>
        </w:rPr>
        <w:t xml:space="preserve"> above for a discussion of these Non-GAAP Measures.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Revenue from medical cannabis: </w:t>
      </w:r>
      <w:r>
        <w:rPr>
          <w:rFonts w:ascii="Arial" w:cs="Arial" w:eastAsia="Arial" w:hAnsi="Arial"/>
          <w:sz w:val="17"/>
          <w:szCs w:val="17"/>
          <w:color w:val="auto"/>
        </w:rPr>
        <w:t>Revenue from Canadian medical cannabis decreased 18% to $25.0 million for the year ended May 31,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revenue of $30.6 million for the year ended May 31, 2022. On a constant currency basis revenue from Canadian medical cannabis decreased to $26.6 million from $30.6 million for the year ended May 31, 2022. This decrease in revenue from medical cannabis is primarily driven by increased competition from the adult-use recreational market and its related price compression impacting the medical cannabis market.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Revenue from adult-use cannabis: </w:t>
      </w:r>
      <w:r>
        <w:rPr>
          <w:rFonts w:ascii="Arial" w:cs="Arial" w:eastAsia="Arial" w:hAnsi="Arial"/>
          <w:sz w:val="18"/>
          <w:szCs w:val="18"/>
          <w:color w:val="auto"/>
        </w:rPr>
        <w:t>During the year ended, May 31, 2023, our revenue from Canadian adult-use cannabis product increased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$214.3 million compared to revenue of $209.5 million for the prior year. Due to the decline in the Canadian dollar, on a constant currency basis, our revenue from Canadian adult-use cannabis increased 8% to $225.7 million for the year ended May 31, 2023. Included in the current period results was the favorable impact of the HEXO arrangement which resulted in $40.4 million of advisory services revenue for the year ended May 31, 2023 that did not occur in the prior period comparative. This increase was offset by the negative impacts of price compression, challenges in the province of Quebec and change in potency preferences.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Wholesale cannabis revenue: </w:t>
      </w:r>
      <w:r>
        <w:rPr>
          <w:rFonts w:ascii="Arial" w:cs="Arial" w:eastAsia="Arial" w:hAnsi="Arial"/>
          <w:sz w:val="18"/>
          <w:szCs w:val="18"/>
          <w:color w:val="auto"/>
        </w:rPr>
        <w:t>Revenue from wholesale cannabis decreased to $1.4 million for the year ended May 31, 2023, compared to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$6.9 million for the prior year same period which is consistent on a constant currency basis. The Company continues to believe that wholesale cannabis revenue will remain subject to quarter-to-quarter variability and is based on opportunistic sales.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International cannabis revenue: </w:t>
      </w:r>
      <w:r>
        <w:rPr>
          <w:rFonts w:ascii="Arial" w:cs="Arial" w:eastAsia="Arial" w:hAnsi="Arial"/>
          <w:sz w:val="17"/>
          <w:szCs w:val="17"/>
          <w:color w:val="auto"/>
        </w:rPr>
        <w:t>Revenue from international cannabis decreased to $43.6 million for the year ended May 31, 2023,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of $53.9 million for the year ended May 31, 2022. Given the deterioration of the Euro against the U.S. Dollar in the quarter, on a constant currency basis, revenue from international cannabis decreased to $47.4 million from $53.9 million in the prior year same period. During the year, the Company recognized a one-time return adjustment of $3.1 million related to a customer in Israel. In addition, the Company had $9.8 million of revenue in the prior year to Israel, which did not repeat in the current period results given the challenging and severe deterioration of market conditions in Israel. These negative impacts were partially offset by expansion into other European countries that have legalized medical cannabis.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revenue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Revenue from Distribution operations decreased to $258.8 million for the year ended May 31, 2023 compared to revenue of $259.7 million for the prior year same period. Revenue was negatively impacted during year from the deterioration of the Euro against the U.S. Dollar, which when the impacts are eliminated on a constant currency basis, revenue increased to $285.1 million for the year ended May 31, 2023 when compared to prior year same period. However, this impact is offset by the impact of the flood that occurred in the comparative prior period and forced a business</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closure for approximately five days leading to a decrease in net revenue in the prior period of almost $5.0 million, which did not recur in the current year. Additionally, the Company is continuing to prioritize higher margin sales, and as a result of our focus on higher margin sales and capacity constraints, management believes in future periods we can continue to drive larger profit margins despite not increasing revenue in our distribution business as we approach full utilization of our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alcohol revenue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Revenue from our Beverage operations increased to $95.1 million the year ended May 31, 2023, compared to revenue of $71.5 million for the prior year same period. The increase in the year relates primarily to our acquisition of Montauk on November 7,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 revenue</w:t>
      </w:r>
    </w:p>
    <w:p>
      <w:pPr>
        <w:spacing w:after="0" w:line="229" w:lineRule="exact"/>
        <w:rPr>
          <w:sz w:val="20"/>
          <w:szCs w:val="20"/>
          <w:color w:val="auto"/>
        </w:rPr>
      </w:pPr>
    </w:p>
    <w:p>
      <w:pPr>
        <w:jc w:val="both"/>
        <w:ind w:left="160" w:firstLine="486"/>
        <w:spacing w:after="0" w:line="301" w:lineRule="auto"/>
        <w:rPr>
          <w:sz w:val="20"/>
          <w:szCs w:val="20"/>
          <w:color w:val="auto"/>
        </w:rPr>
      </w:pPr>
      <w:r>
        <w:rPr>
          <w:rFonts w:ascii="Arial" w:cs="Arial" w:eastAsia="Arial" w:hAnsi="Arial"/>
          <w:sz w:val="16"/>
          <w:szCs w:val="16"/>
          <w:color w:val="auto"/>
        </w:rPr>
        <w:t>Our Wellness revenue from Manitoba Harvest decreased to $52.8 million for the year ended May 31, 2023 compared to $59.6 million for the prior year same period. On a constant currency basis for the year ended May 31, 2023, Wellness revenue decreased to $54.4 million from $59.6 million. The decrease in revenue for the year related to continual changes of inventory management by one of our customers based on a warehousing strategy as well as a decline in sales velocity from a recent price increase required to protect our margin given the inflation on our ingredient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Our gross profit and gross margin for the years ended May 31, 2023, 2022 and 2021, is as follows, for our each of our operating segments:</w:t>
      </w:r>
    </w:p>
    <w:p>
      <w:pPr>
        <w:sectPr>
          <w:pgSz w:w="11900" w:h="16838" w:orient="portrait"/>
          <w:cols w:equalWidth="0" w:num="1">
            <w:col w:w="11240"/>
          </w:cols>
          <w:pgMar w:left="320" w:top="580" w:right="339" w:bottom="1440" w:gutter="0" w:footer="0" w:header="0"/>
        </w:sectPr>
      </w:pPr>
    </w:p>
    <w:p>
      <w:pPr>
        <w:spacing w:after="0" w:line="258" w:lineRule="exact"/>
        <w:rPr>
          <w:sz w:val="20"/>
          <w:szCs w:val="20"/>
          <w:color w:val="auto"/>
        </w:rPr>
      </w:pPr>
    </w:p>
    <w:p>
      <w:pPr>
        <w:ind w:left="1800" w:right="1180" w:hanging="1793"/>
        <w:spacing w:after="0" w:line="302" w:lineRule="auto"/>
        <w:rPr>
          <w:sz w:val="20"/>
          <w:szCs w:val="20"/>
          <w:color w:val="auto"/>
        </w:rPr>
      </w:pPr>
      <w:r>
        <w:rPr>
          <w:rFonts w:ascii="Arial" w:cs="Arial" w:eastAsia="Arial" w:hAnsi="Arial"/>
          <w:sz w:val="16"/>
          <w:szCs w:val="16"/>
          <w:b w:val="1"/>
          <w:bCs w:val="1"/>
          <w:color w:val="auto"/>
        </w:rPr>
        <w:t>(in thousands of U.S. dollars) Cannabis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3" w:lineRule="exact"/>
        <w:rPr>
          <w:sz w:val="20"/>
          <w:szCs w:val="20"/>
          <w:color w:val="auto"/>
        </w:rPr>
      </w:pPr>
    </w:p>
    <w:p>
      <w:pPr>
        <w:ind w:right="1240" w:firstLine="162"/>
        <w:spacing w:after="0" w:line="316" w:lineRule="auto"/>
        <w:rPr>
          <w:sz w:val="20"/>
          <w:szCs w:val="20"/>
          <w:color w:val="auto"/>
        </w:rPr>
      </w:pPr>
      <w:r>
        <w:rPr>
          <w:rFonts w:ascii="Arial" w:cs="Arial" w:eastAsia="Arial" w:hAnsi="Arial"/>
          <w:sz w:val="16"/>
          <w:szCs w:val="16"/>
          <w:color w:val="auto"/>
        </w:rPr>
        <w:t>Inventory valuation adjustments Adjusted gross profit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margin (1)</w:t>
      </w:r>
    </w:p>
    <w:p>
      <w:pPr>
        <w:spacing w:after="0" w:line="23" w:lineRule="exact"/>
        <w:rPr>
          <w:sz w:val="20"/>
          <w:szCs w:val="20"/>
          <w:color w:val="auto"/>
        </w:rPr>
      </w:pPr>
    </w:p>
    <w:p>
      <w:pPr>
        <w:jc w:val="right"/>
        <w:ind w:right="1080"/>
        <w:spacing w:after="0"/>
        <w:rPr>
          <w:sz w:val="20"/>
          <w:szCs w:val="20"/>
          <w:color w:val="auto"/>
        </w:rPr>
      </w:pPr>
      <w:r>
        <w:rPr>
          <w:rFonts w:ascii="Arial" w:cs="Arial" w:eastAsia="Arial" w:hAnsi="Arial"/>
          <w:sz w:val="18"/>
          <w:szCs w:val="18"/>
          <w:b w:val="1"/>
          <w:bCs w:val="1"/>
          <w:color w:val="auto"/>
        </w:rPr>
        <w:t>Distribution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9"/>
          </w:tcPr>
          <w:p>
            <w:pPr>
              <w:jc w:val="right"/>
              <w:spacing w:after="0"/>
              <w:rPr>
                <w:sz w:val="20"/>
                <w:szCs w:val="20"/>
                <w:color w:val="auto"/>
              </w:rPr>
            </w:pPr>
            <w:r>
              <w:rPr>
                <w:rFonts w:ascii="Arial" w:cs="Arial" w:eastAsia="Arial" w:hAnsi="Arial"/>
                <w:sz w:val="18"/>
                <w:szCs w:val="18"/>
                <w:b w:val="1"/>
                <w:bCs w:val="1"/>
                <w:color w:val="auto"/>
              </w:rPr>
              <w:t>For the year ended May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2023 vs. 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2022 vs. 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220,430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237,522</w:t>
            </w:r>
          </w:p>
        </w:tc>
        <w:tc>
          <w:tcPr>
            <w:tcW w:w="24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201,392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(17,092)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36,130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162,755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194,834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130,511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(32,079)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64,323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57,675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55,000</w:t>
            </w:r>
          </w:p>
        </w:tc>
        <w:tc>
          <w:tcPr>
            <w:tcW w:w="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59,500</w:t>
            </w:r>
          </w:p>
        </w:tc>
        <w:tc>
          <w:tcPr>
            <w:tcW w:w="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19,919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(4,500)</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39,581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112,675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102,188</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-1045210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-762635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-454025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-162560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3720" w:space="720"/>
            <w:col w:w="680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258,770</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w:t>
            </w: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231,309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242,472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(11,922)</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34,828</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220" w:type="dxa"/>
            <w:vAlign w:val="bottom"/>
            <w:shd w:val="clear" w:color="auto" w:fill="CCEEFF"/>
          </w:tcPr>
          <w:p>
            <w:pPr>
              <w:spacing w:after="0"/>
              <w:rPr>
                <w:sz w:val="18"/>
                <w:szCs w:val="18"/>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36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Inventory valuation adjustments</w:t>
            </w: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w:t>
            </w: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Adjusted gross profit (1)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3,445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(10,812)</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 (1)</w:t>
            </w: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197"/>
        </w:trPr>
        <w:tc>
          <w:tcPr>
            <w:tcW w:w="3620" w:type="dxa"/>
            <w:vAlign w:val="bottom"/>
            <w:tcBorders>
              <w:top w:val="single" w:sz="8" w:color="CCEEFF"/>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87"/>
              </w:rPr>
              <w:t>Beverage alcohol</w:t>
            </w: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71,492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23,601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42,893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32,033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16,737</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19,346</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23,547</w:t>
            </w:r>
          </w:p>
        </w:tc>
        <w:tc>
          <w:tcPr>
            <w:tcW w:w="220" w:type="dxa"/>
            <w:vAlign w:val="bottom"/>
            <w:shd w:val="clear" w:color="auto" w:fill="CCEEFF"/>
          </w:tcPr>
          <w:p>
            <w:pPr>
              <w:spacing w:after="0"/>
              <w:rPr>
                <w:sz w:val="18"/>
                <w:szCs w:val="18"/>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6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Purchase price accounting step-up</w:t>
            </w: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4,482</w:t>
            </w:r>
          </w:p>
        </w:tc>
        <w:tc>
          <w:tcPr>
            <w:tcW w:w="260" w:type="dxa"/>
            <w:vAlign w:val="bottom"/>
            <w:tcBorders>
              <w:left w:val="single" w:sz="8" w:color="CCEEFF"/>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2,214</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2,268</w:t>
            </w: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1,379</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Adjusted gross profit (1)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50,805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9,132</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24,926</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 (1)</w:t>
            </w: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196"/>
        </w:trPr>
        <w:tc>
          <w:tcPr>
            <w:tcW w:w="3620" w:type="dxa"/>
            <w:vAlign w:val="bottom"/>
            <w:tcBorders>
              <w:top w:val="single" w:sz="8" w:color="CCEEFF"/>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84"/>
              </w:rPr>
              <w:t>Wellness</w:t>
            </w: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53,817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41,457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(4,127)</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37,224</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220" w:type="dxa"/>
            <w:vAlign w:val="bottom"/>
            <w:shd w:val="clear" w:color="auto" w:fill="CCEEFF"/>
          </w:tcPr>
          <w:p>
            <w:pPr>
              <w:spacing w:after="0"/>
              <w:rPr>
                <w:sz w:val="18"/>
                <w:szCs w:val="18"/>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620" w:type="dxa"/>
            <w:vAlign w:val="bottom"/>
            <w:shd w:val="clear" w:color="auto" w:fill="CCEEFF"/>
          </w:tcPr>
          <w:p>
            <w:pPr>
              <w:jc w:val="center"/>
              <w:ind w:left="630"/>
              <w:spacing w:after="0" w:line="196" w:lineRule="exact"/>
              <w:rPr>
                <w:sz w:val="20"/>
                <w:szCs w:val="20"/>
                <w:color w:val="auto"/>
              </w:rPr>
            </w:pPr>
            <w:r>
              <w:rPr>
                <w:rFonts w:ascii="Arial" w:cs="Arial" w:eastAsia="Arial" w:hAnsi="Arial"/>
                <w:sz w:val="18"/>
                <w:szCs w:val="18"/>
                <w:b w:val="1"/>
                <w:bCs w:val="1"/>
                <w:color w:val="auto"/>
                <w:w w:val="88"/>
              </w:rPr>
              <w:t>Total</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627,124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628,372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513,085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(1,248)</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115,287</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480,164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511,555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389,903</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(31,391)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121,652</w:t>
            </w: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Gross profit (loss)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146,960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116,817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30,143</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(6,365)</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20" w:type="dxa"/>
            <w:vAlign w:val="bottom"/>
          </w:tcPr>
          <w:p>
            <w:pPr>
              <w:ind w:left="180"/>
              <w:spacing w:after="0" w:line="196" w:lineRule="exact"/>
              <w:rPr>
                <w:sz w:val="20"/>
                <w:szCs w:val="20"/>
                <w:color w:val="auto"/>
              </w:rPr>
            </w:pPr>
            <w:r>
              <w:rPr>
                <w:rFonts w:ascii="Arial" w:cs="Arial" w:eastAsia="Arial" w:hAnsi="Arial"/>
                <w:sz w:val="18"/>
                <w:szCs w:val="18"/>
                <w:color w:val="auto"/>
              </w:rPr>
              <w:t>Inventory valuation adjustments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55,000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67,000</w:t>
            </w: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19,919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(12,000)</w:t>
            </w:r>
          </w:p>
        </w:tc>
        <w:tc>
          <w:tcPr>
            <w:tcW w:w="3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47,081</w:t>
            </w: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price accounting step-up</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w:t>
            </w: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Adjusted gross profit (1)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206,442</w:t>
            </w:r>
          </w:p>
        </w:tc>
        <w:tc>
          <w:tcPr>
            <w:tcW w:w="2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186,031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143,936</w:t>
            </w:r>
          </w:p>
        </w:tc>
        <w:tc>
          <w:tcPr>
            <w:tcW w:w="2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20,411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42,095</w:t>
            </w:r>
          </w:p>
        </w:tc>
      </w:tr>
      <w:tr>
        <w:trPr>
          <w:trHeight w:val="20"/>
        </w:trPr>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 (1)</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80" w:hanging="174"/>
        <w:spacing w:after="0" w:line="232" w:lineRule="auto"/>
        <w:rPr>
          <w:sz w:val="20"/>
          <w:szCs w:val="20"/>
          <w:color w:val="auto"/>
        </w:rPr>
      </w:pP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 xml:space="preserve">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See </w:t>
      </w:r>
      <w:r>
        <w:rPr>
          <w:rFonts w:ascii="Arial" w:cs="Arial" w:eastAsia="Arial" w:hAnsi="Arial"/>
          <w:sz w:val="18"/>
          <w:szCs w:val="18"/>
          <w:color w:val="auto"/>
        </w:rPr>
        <w:t>“</w:t>
      </w:r>
      <w:r>
        <w:rPr>
          <w:rFonts w:ascii="Arial" w:cs="Arial" w:eastAsia="Arial" w:hAnsi="Arial"/>
          <w:sz w:val="18"/>
          <w:szCs w:val="18"/>
          <w:i w:val="1"/>
          <w:iCs w:val="1"/>
          <w:color w:val="auto"/>
        </w:rPr>
        <w:t>Reconciliation of Non-GAAP Financial Measures to GAAP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for additional discussion regarding these non-GAAP measures. The Company</w:t>
      </w:r>
      <w:r>
        <w:rPr>
          <w:rFonts w:ascii="Arial" w:cs="Arial" w:eastAsia="Arial" w:hAnsi="Arial"/>
          <w:sz w:val="18"/>
          <w:szCs w:val="18"/>
          <w:color w:val="auto"/>
        </w:rPr>
        <w:t>’</w:t>
      </w:r>
      <w:r>
        <w:rPr>
          <w:rFonts w:ascii="Arial" w:cs="Arial" w:eastAsia="Arial" w:hAnsi="Arial"/>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Adjusted gross profit and adjusted gross margin are non-GAAP financial measures and may not be comparable to similar measures presented by other companies. 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Cannabis gross margin: </w:t>
      </w:r>
      <w:r>
        <w:rPr>
          <w:rFonts w:ascii="Arial" w:cs="Arial" w:eastAsia="Arial" w:hAnsi="Arial"/>
          <w:sz w:val="17"/>
          <w:szCs w:val="17"/>
          <w:color w:val="auto"/>
        </w:rPr>
        <w:t>Gross margin increased during the year ended May 31, 2023, to 26% from 18% for the prior year same periods. The</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impact in the change in cannabis gross margin was related to the non-cash inventory valuation adjustments that occurred in the current year which was higher in the prior year. Excluding these valuation adjustments, adjusted gross margin during the year ended May 31, 2023, increased to 51% from 43% when comparing the same prior year period. The largest impact on the current period adjusted gross margin is the inclusion of the $40.4 million of HEXO advisory fee revenue included in cannabis revenue. When this revenue is excluded from this computation, our adjusted cannabis gross margin would have been 40%. The reason for the decline in the year when excluding the impacts from HEXO is attributed to the impacts of price compression as well as a decrease in utilization of our cannabis facilities to manage demand requirements. Additionally, the Company recognized a one-time return as discussed in the international cannabis revenue section that reduced our top line revenue as well as a one-time inventory disposals incurred as exit costs from Israel for a combined impact of reducing gross profit by $1.4 million. Further impacting the decrease in the adjusted gross cannabis margin is a shift in strategic priorities to focus on pursuing cash flow generating activities. The Company has made the business decision to lower production in our cannabis facilities as a result of slower than anticipated legalization globally. We will continue to prioritize reductions in operational costs as we continue to assess additional potential cost saving initiatives.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Distribution gross margin: </w:t>
      </w:r>
      <w:r>
        <w:rPr>
          <w:rFonts w:ascii="Arial" w:cs="Arial" w:eastAsia="Arial" w:hAnsi="Arial"/>
          <w:sz w:val="18"/>
          <w:szCs w:val="18"/>
          <w:color w:val="auto"/>
        </w:rPr>
        <w:t>Gross margin of 11% for the year ended May 31, 2023, increased from 6% the year ended May 31,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gross margin for the year ended May 31, 2023, increased to 11% from the prior year's adjusted gross margin of 9%, which included a write-off of $7.5 million from excess inventory related to medicines purchased during the peak of the pandemic that occurred in prior period comparative figure and did not recur. The adjusted year over year increase relates to a change in product mix as the Company continues to focus on higher margin sales in the current year.</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Beverage alcohol gross margin: </w:t>
      </w:r>
      <w:r>
        <w:rPr>
          <w:rFonts w:ascii="Arial" w:cs="Arial" w:eastAsia="Arial" w:hAnsi="Arial"/>
          <w:sz w:val="16"/>
          <w:szCs w:val="16"/>
          <w:color w:val="auto"/>
        </w:rPr>
        <w:t>Gross margin of 49% for the year ended May 31, 2023, decreased from 55% the prior year ended May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Adjusted gross margin of 53% decreased in the year ended May 31, 2023, from 58% in the year ended May 31, 2022. The adjusted gross margin for Beverage alcohol was 53% in the year compared to 58% for the prior year. The decrease in beverage alcohol gross margin for the year is a result of the Montauk acquisition that was not completed in the prior period comparison and the Breckenridge acquisition which was only in two quarters of the comparative period. Both acquired companies operate at a slightly lower margin than SweetWater, which contributed to the decrease. Additionally, SweetWater has expanded operations in Colorado in the current period which has had negative impacts on the margin as it is still in the start-up phase.</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Wellness gross margin: </w:t>
      </w:r>
      <w:r>
        <w:rPr>
          <w:rFonts w:ascii="Arial" w:cs="Arial" w:eastAsia="Arial" w:hAnsi="Arial"/>
          <w:sz w:val="17"/>
          <w:szCs w:val="17"/>
          <w:color w:val="auto"/>
        </w:rPr>
        <w:t>Gross margin of 29% for the year ended May 31, 2023, decreased from a gross margin of 30% for the year ended May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The decrease is related to the impacts of higher input costs of seed ingredients as a result of inflation. The Company increased prices in the second quarter to combat the impacts of this inflation and as a result the gross margin has remained overall consistent.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30"/>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9"/>
          </w:tcPr>
          <w:p>
            <w:pPr>
              <w:jc w:val="right"/>
              <w:ind w:right="410"/>
              <w:spacing w:after="0"/>
              <w:rPr>
                <w:sz w:val="20"/>
                <w:szCs w:val="20"/>
                <w:color w:val="auto"/>
              </w:rPr>
            </w:pPr>
            <w:r>
              <w:rPr>
                <w:rFonts w:ascii="Arial" w:cs="Arial" w:eastAsia="Arial" w:hAnsi="Arial"/>
                <w:sz w:val="18"/>
                <w:szCs w:val="18"/>
                <w:b w:val="1"/>
                <w:bCs w:val="1"/>
                <w:color w:val="auto"/>
              </w:rPr>
              <w:t>For the year ended May 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7"/>
              </w:rPr>
              <w:t>Change</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Change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8"/>
              </w:rPr>
              <w:t>2023 vs. 2022</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8"/>
              </w:rPr>
              <w:t>2022 vs. 2021</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Marketing and promotion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13,395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Change in fair value of contingent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(44,650)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45,505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(44,650)</w:t>
            </w:r>
          </w:p>
        </w:tc>
        <w:tc>
          <w:tcPr>
            <w:tcW w:w="5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555,759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378,241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5"/>
              </w:rPr>
              <w:t>Other than temporary change in fair value of</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convertible notes receivable</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246,330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246,330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Litigation (recovery) costs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(17,023)</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1,063%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(29,331)</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1,516,645</w:t>
            </w:r>
          </w:p>
        </w:tc>
        <w:tc>
          <w:tcPr>
            <w:tcW w:w="14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727,218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255,353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789,427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471,865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0"/>
        </w:trPr>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operating expenses for the year ended May 31, 2023, increased by $789.4 million to $1,516.6 million from $727.2 million as compared to prior year. Operating expenses are comprised of general and administrative, share-based compensation, selling, amortization, marketing and promotion, research and development, change in fair value of contingent consideration, impairments, litigation (recovery) costs, restructuring costs and transaction (income) costs. This increase was primarily a result of the non-cash impairments and changes in fair value of convertible notes receivable recorded in the period described in detail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General and administrative costs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For the year ended May 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Change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Change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2023 vs. 2022</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2022 vs. 2021</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Office and general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27,153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692</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Salaries and wages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5,535</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35,994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3,601</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13,047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(5,881)</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capital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Insurance proceeds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(4,032)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4,032</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(4,032)</w:t>
            </w:r>
          </w:p>
        </w:tc>
        <w:tc>
          <w:tcPr>
            <w:tcW w:w="5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Travel and accommodation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Rent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costs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compensation decreased by 3% in the year ended May 31, 2023 compared to $14.1 the prior year, primarily due to a minor changes in the executive team structure and otherwise remained consistent.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firstLine="648"/>
        <w:spacing w:after="0" w:line="277" w:lineRule="auto"/>
        <w:rPr>
          <w:sz w:val="20"/>
          <w:szCs w:val="20"/>
          <w:color w:val="auto"/>
        </w:rPr>
      </w:pPr>
      <w:r>
        <w:rPr>
          <w:rFonts w:ascii="Arial" w:cs="Arial" w:eastAsia="Arial" w:hAnsi="Arial"/>
          <w:sz w:val="18"/>
          <w:szCs w:val="18"/>
          <w:color w:val="auto"/>
        </w:rPr>
        <w:t>Office and general increased by 3% in the year ended May 31, 2023 compared to $27.2 the prior year, primarily due to the acquisition of Montauk, increased operations and some reclassification of other expenses during the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Salaries and wages increased 11% in the year ended May 31, 2023 compared to $51.7 the prior year. The increase is primarily due to additions associated with the inclusion of Breckenridge employees, who were partially included in the prior year and Montauk employees, who were not included in the prior year.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stock-based compensation expense of $39.6 million in the year ended May 31, 2023 compared to $36.0 million to the prior year. The increase is primarily driven by the increased number of employees and the accelerated vesting of certain elements of our stock-based compensation awards.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Insurance expenses decreased by 31% in the year ended May 31, 2023 compared to the prior year, due primarily to our revised directors and officers’ insurance policy. This item was a target of the Tilray-Aphria Arrangement Agreement synergies.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Professional fees decreased by 45% to $7.2 million in the year ended May 31, 2023 from $13.0 when compared to the prior year. This item was a target of the Tilray-Aphria Arrangement Agreement synergies which drove the large decrease in the year. As well, some of our charter amendment costs were recorded in transactions costs during the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$4.0 million in the year ended May 31, 2022 related to insurance recoveries under the business interruption and extra expense portions of CC Pharma’s property insurance and had no recoveries in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May 31, 2023, the Company incurred selling costs of $34.8 million or 5.6% of revenue as compared to $34.9 or 5.6% of revenue in the prior year.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amount has remained consistent as a percentage of revenue on a year over year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b w:val="1"/>
          <w:bCs w:val="1"/>
          <w:color w:val="auto"/>
        </w:rPr>
        <w:t>Amortization</w:t>
      </w:r>
    </w:p>
    <w:p>
      <w:pPr>
        <w:spacing w:after="0" w:line="229" w:lineRule="exact"/>
        <w:rPr>
          <w:sz w:val="20"/>
          <w:szCs w:val="20"/>
          <w:color w:val="auto"/>
        </w:rPr>
      </w:pPr>
    </w:p>
    <w:p>
      <w:pPr>
        <w:ind w:left="20" w:firstLine="648"/>
        <w:spacing w:after="0" w:line="277" w:lineRule="auto"/>
        <w:rPr>
          <w:sz w:val="20"/>
          <w:szCs w:val="20"/>
          <w:color w:val="auto"/>
        </w:rPr>
      </w:pPr>
      <w:r>
        <w:rPr>
          <w:rFonts w:ascii="Arial" w:cs="Arial" w:eastAsia="Arial" w:hAnsi="Arial"/>
          <w:sz w:val="18"/>
          <w:szCs w:val="18"/>
          <w:color w:val="auto"/>
        </w:rPr>
        <w:t>The Company incurred non-production related amortization charges of $93.5 million for the year ended May 31, 2023 compared to $115.2 million in 2022. The decreased amortization is a result of the reduced intangible asset levels.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Marketing and promotion cost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 the year ended May 31, 2023, the Company incurred marketing and promotion costs of $30.9 million, as compared to $30.9 in the prior year.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amount has remained consistent period over period as marketing is not directly proportionate to sales and is discretionary.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20" w:firstLine="648"/>
        <w:spacing w:after="0" w:line="277" w:lineRule="auto"/>
        <w:rPr>
          <w:sz w:val="20"/>
          <w:szCs w:val="20"/>
          <w:color w:val="auto"/>
        </w:rPr>
      </w:pPr>
      <w:r>
        <w:rPr>
          <w:rFonts w:ascii="Arial" w:cs="Arial" w:eastAsia="Arial" w:hAnsi="Arial"/>
          <w:sz w:val="18"/>
          <w:szCs w:val="18"/>
          <w:color w:val="auto"/>
        </w:rPr>
        <w:t>Research and development costs were $0.7 million in the year ended May 31, 2023, compared to $1.5 million in the prior year. Research and development costs relate to external costs associated with the development of new products.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jc w:val="both"/>
        <w:ind w:left="320" w:firstLine="450"/>
        <w:spacing w:after="0" w:line="272" w:lineRule="auto"/>
        <w:rPr>
          <w:sz w:val="20"/>
          <w:szCs w:val="20"/>
          <w:color w:val="auto"/>
        </w:rPr>
      </w:pPr>
      <w:r>
        <w:rPr>
          <w:rFonts w:ascii="Arial" w:cs="Arial" w:eastAsia="Arial" w:hAnsi="Arial"/>
          <w:sz w:val="17"/>
          <w:szCs w:val="17"/>
          <w:color w:val="auto"/>
        </w:rPr>
        <w:t>Based upon a combination of factors including a sustained decline in the Company’s market capitalization below the Company’s carrying value, coupled with challenging macro-economic conditions, most particularly the rising interest rate environment and slower than anticipated progress in global cannabis legalization, the Company concluded that it is more likely than not that indicators of impairment were present in the Company's third quarter ended February 28, 2023. Accordingly, the Company performed the applicable impairment tests by computing the fair value of each reporting segment by using the income approach, and a combination of the income approach and the market approach for all other asset categories identified to have indicators of impairment as summarized below. As a result the Company incurred a non-cash impairment expense for the year ended May 31, 2023 of $934.0 million which is comprised of the following components:</w:t>
      </w:r>
    </w:p>
    <w:p>
      <w:pPr>
        <w:spacing w:after="0" w:line="177" w:lineRule="exact"/>
        <w:rPr>
          <w:sz w:val="20"/>
          <w:szCs w:val="20"/>
          <w:color w:val="auto"/>
        </w:rPr>
      </w:pPr>
    </w:p>
    <w:p>
      <w:pPr>
        <w:jc w:val="both"/>
        <w:ind w:left="500" w:right="180" w:hanging="191"/>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asset impairments of $81.5 million on a production facility in Canada and $22.5 million on equipment which the Company has temporarily made idle in order to reduce cultivation costs and right-size the Company's production to align with current and projected demand, as references in Note 6 (Capital assets), and;</w:t>
      </w:r>
    </w:p>
    <w:p>
      <w:pPr>
        <w:spacing w:after="0" w:line="183" w:lineRule="exact"/>
        <w:rPr>
          <w:rFonts w:ascii="Arial" w:cs="Arial" w:eastAsia="Arial" w:hAnsi="Arial"/>
          <w:sz w:val="18"/>
          <w:szCs w:val="18"/>
          <w:color w:val="auto"/>
        </w:rPr>
      </w:pPr>
    </w:p>
    <w:p>
      <w:pPr>
        <w:ind w:left="500" w:right="160" w:hanging="191"/>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Intangible asset impairments of $110.0 million on customer relationships &amp; distribution channels, $55.0 million of its licenses, permits &amp; applications and $40.0 million of its intellectual property, trademarks, knowhow &amp; brands, as a result of the decline in market share in its Canadian cannabis with certain product lines and customers, as referenced in Note 8 (Intangible assets), and;</w:t>
      </w:r>
    </w:p>
    <w:p>
      <w:pPr>
        <w:spacing w:after="0" w:line="183" w:lineRule="exact"/>
        <w:rPr>
          <w:rFonts w:ascii="Arial" w:cs="Arial" w:eastAsia="Arial" w:hAnsi="Arial"/>
          <w:sz w:val="18"/>
          <w:szCs w:val="18"/>
          <w:color w:val="auto"/>
        </w:rPr>
      </w:pPr>
    </w:p>
    <w:p>
      <w:pPr>
        <w:jc w:val="both"/>
        <w:ind w:left="500" w:hanging="191"/>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impairments of $603.5 million in cannabis goodwill and $15.0 million in wellness goodwill, as a result of the increased Company specific risk premium which was driven by increased borrowing rates and the decline of the company’s market capitalization, as referenced in Note 10 (Goodwill), and;</w:t>
      </w:r>
    </w:p>
    <w:p>
      <w:pPr>
        <w:spacing w:after="0" w:line="183" w:lineRule="exact"/>
        <w:rPr>
          <w:rFonts w:ascii="Arial" w:cs="Arial" w:eastAsia="Arial" w:hAnsi="Arial"/>
          <w:sz w:val="18"/>
          <w:szCs w:val="18"/>
          <w:color w:val="auto"/>
        </w:rPr>
      </w:pPr>
    </w:p>
    <w:p>
      <w:pPr>
        <w:ind w:left="500" w:hanging="191"/>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current assets impairments of $6.5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non-cash impairment expense has no impact on the Company’s compliance with debt covenants, its cash flows or available liquidity.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than temporary write-down of convertible notes receivable</w:t>
      </w:r>
    </w:p>
    <w:p>
      <w:pPr>
        <w:spacing w:after="0" w:line="229"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7"/>
          <w:szCs w:val="17"/>
          <w:color w:val="auto"/>
        </w:rPr>
        <w:t>During the year the Company recognized an other-than-temporary change in fair value, which resulted in a non-cash impairment expense of convertible notes receivable impairments of $128.6 million on the HEXO Convertible Notes Receivable due to changes in the HEXO share price and HEXO operations, which culminated in HEXO's assessment of a going concern issue primarily surrounding their ability to meet their minimum liquidity covenant and $117.8 million on the MedMen Convertible Notes due to the deterioration of capital market conditions from increased interest rates and recent delays in US Federal cannabis legalization, as referenced in Note 11 (Convertible Notes Receivable). Subsequent to year-end, the Company converted the HEXO Convertible Notes Receivable and acquired all the outstanding shares of HEXO, see Note 30 (Subsequent events).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Litigation costs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Litigation costs of ($0.5) million were expensed during the year ended May 31, 2023 compared to $16.5 million in the prior year. Litigation costs include fees and expenses incurred in connection with defending and settling ongoing litigation matters, net of any judgments or settlement recoveries received from third parties. See Note 27 (Commitments and Contingencies) for additional information on significant litigation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In connection with executing our acquisition strategy and strategic transactions, the Company incurred non-recurring restructuring and exit costs associated with the integration efforts of these transactions. For the year ended May 31, 2023 and May 31, 2022 respectively, the Company incurred $9.2 million and $0.8 million of restructuring costs. The breakdown of the restructuring charges for the year ended May 31, 2023 are as follows:</w:t>
      </w:r>
    </w:p>
    <w:p>
      <w:pPr>
        <w:spacing w:after="0" w:line="149"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In the year the Company incurred $2.7 million of expenses related to severance costs required to right size the Company's production to better align with current demand requirements. The Company also incurred $1.6 million of exit cost and $2.8 million for inventory adjustments from the termination of our producer partnership in Uruguay due to a breach of the underlying contract in our International cannabis business. Additionally, amounts related to the Tilray-Aphria arrangement agreement for the closure of our Canadian cannabis facility in Enniskillen were reclassified from transaction costs to restructuring costs during the quarter in the amount of $1.4 million. It is anticipated that there will continue to be additional costs associated with this transaction until the resolution of our lease termination for our Enniskillen facility and the restructuring of Nanaimo facility are completed. The Company also incurred $2.2 million of write-offs from the exit of our medical device reprocessing business in our distribution reporting segment. These one-time non-cash charges were a required exit cost as we determined this business venture was no longer accretive to our focus of being free cash flow positive and is not anticipated to have ongoing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left="160" w:firstLine="450"/>
        <w:spacing w:after="0" w:line="277" w:lineRule="auto"/>
        <w:rPr>
          <w:sz w:val="20"/>
          <w:szCs w:val="20"/>
          <w:color w:val="auto"/>
        </w:rPr>
      </w:pPr>
      <w:r>
        <w:rPr>
          <w:rFonts w:ascii="Arial" w:cs="Arial" w:eastAsia="Arial" w:hAnsi="Arial"/>
          <w:sz w:val="18"/>
          <w:szCs w:val="18"/>
          <w:color w:val="auto"/>
        </w:rPr>
        <w:t>Items classified as transaction (income) costs are non-recurring in nature and correspond largely to our acquisitions, and synergy strategy. The decrease of 95% from $30.9 million in the prior year to $1.6 million in the current year is related to the following items:</w:t>
      </w:r>
    </w:p>
    <w:p>
      <w:pPr>
        <w:spacing w:after="0" w:line="170" w:lineRule="exact"/>
        <w:rPr>
          <w:sz w:val="20"/>
          <w:szCs w:val="20"/>
          <w:color w:val="auto"/>
        </w:rPr>
      </w:pPr>
    </w:p>
    <w:p>
      <w:pPr>
        <w:ind w:left="480" w:right="320" w:hanging="191"/>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 year included fees related to the MedMen transaction, and there are no further expected costs to be incurred unless the Triggering Event arises;</w:t>
      </w:r>
    </w:p>
    <w:p>
      <w:pPr>
        <w:spacing w:after="0" w:line="170" w:lineRule="exact"/>
        <w:rPr>
          <w:rFonts w:ascii="Arial" w:cs="Arial" w:eastAsia="Arial" w:hAnsi="Arial"/>
          <w:sz w:val="18"/>
          <w:szCs w:val="18"/>
          <w:color w:val="auto"/>
        </w:rPr>
      </w:pPr>
    </w:p>
    <w:p>
      <w:pPr>
        <w:ind w:left="480" w:right="280" w:hanging="191"/>
        <w:spacing w:after="0" w:line="259"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a change in fair value of $18.3 million on the HTI Share Consideration's purchase price derivative as a result of an increase in our share price on the shares paid for the HEXO convertible note receivable Note 11 (Convertible notes receivable). This gain was payable to the Company from HTI and was collected in cash during the current year. This gain offsets the following items in the year and contributes to the year over year decrease in transaction costs,</w:t>
      </w:r>
    </w:p>
    <w:p>
      <w:pPr>
        <w:spacing w:after="0" w:line="186" w:lineRule="exact"/>
        <w:rPr>
          <w:rFonts w:ascii="Arial" w:cs="Arial" w:eastAsia="Arial" w:hAnsi="Arial"/>
          <w:sz w:val="18"/>
          <w:szCs w:val="18"/>
          <w:color w:val="auto"/>
        </w:rPr>
      </w:pPr>
    </w:p>
    <w:p>
      <w:pPr>
        <w:ind w:left="480" w:hanging="191"/>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non-reimbursed compensation payment of $5.0 million, as a result of the HEXO transaction;</w:t>
      </w:r>
    </w:p>
    <w:p>
      <w:pPr>
        <w:spacing w:after="0" w:line="225" w:lineRule="exact"/>
        <w:rPr>
          <w:rFonts w:ascii="Arial" w:cs="Arial" w:eastAsia="Arial" w:hAnsi="Arial"/>
          <w:sz w:val="18"/>
          <w:szCs w:val="18"/>
          <w:color w:val="auto"/>
        </w:rPr>
      </w:pPr>
    </w:p>
    <w:p>
      <w:pPr>
        <w:ind w:left="480" w:right="80" w:hanging="191"/>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incurred for the Montauk acquisition in the current year which differed from the fees incurred for the Breckenridge acquisitions which occurred in the prior year; and</w:t>
      </w:r>
    </w:p>
    <w:p>
      <w:pPr>
        <w:spacing w:after="0" w:line="170" w:lineRule="exact"/>
        <w:rPr>
          <w:rFonts w:ascii="Arial" w:cs="Arial" w:eastAsia="Arial" w:hAnsi="Arial"/>
          <w:sz w:val="18"/>
          <w:szCs w:val="18"/>
          <w:color w:val="auto"/>
        </w:rPr>
      </w:pPr>
    </w:p>
    <w:p>
      <w:pPr>
        <w:ind w:left="480" w:hanging="191"/>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associated with amending our charter during the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0"/>
          </w:tcPr>
          <w:p>
            <w:pPr>
              <w:jc w:val="right"/>
              <w:ind w:right="640"/>
              <w:spacing w:after="0"/>
              <w:rPr>
                <w:sz w:val="20"/>
                <w:szCs w:val="20"/>
                <w:color w:val="auto"/>
              </w:rPr>
            </w:pPr>
            <w:r>
              <w:rPr>
                <w:rFonts w:ascii="Arial" w:cs="Arial" w:eastAsia="Arial" w:hAnsi="Arial"/>
                <w:sz w:val="18"/>
                <w:szCs w:val="18"/>
                <w:b w:val="1"/>
                <w:bCs w:val="1"/>
                <w:color w:val="auto"/>
              </w:rPr>
              <w:t>For the year ended May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0"/>
              </w:rPr>
              <w:t>Change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Change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6"/>
              </w:rPr>
              <w:t>2023 vs. 2022</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2022 vs. 2021</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5"/>
        </w:trPr>
        <w:tc>
          <w:tcPr>
            <w:tcW w:w="34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Change in fair value of convertible debenture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(43,651)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163,670</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(170,453)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(207,321)</w:t>
            </w:r>
          </w:p>
        </w:tc>
        <w:tc>
          <w:tcPr>
            <w:tcW w:w="4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334,123</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(51,475)</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62,679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5,079%</w:t>
            </w:r>
          </w:p>
        </w:tc>
      </w:tr>
      <w:tr>
        <w:trPr>
          <w:trHeight w:val="216"/>
        </w:trPr>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(4,385)</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(losses) gains,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(13,179)</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Total non-operating income (expense)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(66,909)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197,671</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(184,838)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(264,580)</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382,509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1" w:name="page62"/>
    <w:bookmarkEnd w:id="61"/>
    <w:p>
      <w:pPr>
        <w:jc w:val="both"/>
        <w:ind w:firstLine="648"/>
        <w:spacing w:after="0" w:line="272" w:lineRule="auto"/>
        <w:rPr>
          <w:sz w:val="20"/>
          <w:szCs w:val="20"/>
          <w:color w:val="auto"/>
        </w:rPr>
      </w:pPr>
      <w:r>
        <w:rPr>
          <w:rFonts w:ascii="Arial" w:cs="Arial" w:eastAsia="Arial" w:hAnsi="Arial"/>
          <w:sz w:val="17"/>
          <w:szCs w:val="17"/>
          <w:color w:val="auto"/>
        </w:rPr>
        <w:t>For the year ended May 31, 2023, the Company recognized a gain on the change in fair value of its APHA 24 convertible debentures of ($43.7) million, compared to a loss on the change in fair value of $163.7 million for the prior year. The change is driven primarily by the changes in the Company’s share price and the change in the trading price of the convertible debentures. For the year ended May 31, 2023, the Company recognized a change in fair value of its warrants of $12.4 million compared to a change in fair value of $63.9 million for the prior year. Furthermore, for the year ended May 31, 2023, the Company recognized a loss of ($25.5) million, resulting from the changes in foreign exchange rates during the period, compared to a loss of ($28.4) million for the prior year, largely associated with the strengthening of the US dollar against the Canadian dollar. The remaining other losses relate to changes in fair value in the Company’s convertible notes receivable and long-term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 income before income taxes, interest expense, net, non-operating expense (income), net, amortization, stock-based compensation, change in fair value of contingent consideration, impairment, inventory valuation adjustments, purchase price accounting step up, facility start-up and closure costs, lease expense, litigation costs and transaction costs.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management believes that this presentation provides useful information to management, analysts and investors regarding certain additional financial and business trends relating to its consolidated results of operations and financial condition before non-controlling interests. In addition, management uses this measure for reviewing the financial results of the Company and as a component of performance-based executive compensation.</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May 31, 2023, adjusted EBITDA increased by $13.5 million to $61.5 million compared to $48.0 in the prior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rPr>
              <w:t>For the year ended May 31,</w:t>
            </w:r>
          </w:p>
        </w:tc>
        <w:tc>
          <w:tcPr>
            <w:tcW w:w="100" w:type="dxa"/>
            <w:vAlign w:val="bottom"/>
          </w:tcPr>
          <w:p>
            <w:pPr>
              <w:spacing w:after="0"/>
              <w:rPr>
                <w:sz w:val="18"/>
                <w:szCs w:val="18"/>
                <w:color w:val="auto"/>
              </w:rPr>
            </w:pPr>
          </w:p>
        </w:tc>
        <w:tc>
          <w:tcPr>
            <w:tcW w:w="14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Change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8"/>
              </w:rPr>
              <w:t>2023 vs. 2022</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2022 vs. 2021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(1,443,000)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(434,132)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(336,014)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(1,008,868)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(98,118)</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Income tax benefits,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(7,181)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2,430</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(14,357)</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(197,671)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184,838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264,580</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(382,509)</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(24,443)</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86,760</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17,351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3,601</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18,643</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contingent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45,505</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(44,650)</w:t>
            </w:r>
          </w:p>
        </w:tc>
        <w:tc>
          <w:tcPr>
            <w:tcW w:w="4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Impairments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378,241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555,759</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378,241</w:t>
            </w:r>
          </w:p>
        </w:tc>
        <w:tc>
          <w:tcPr>
            <w:tcW w:w="4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than temporary change in fair value of</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receivable</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246,330</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Inventory valuation adjustments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19,919</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47,081</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accounting step-up</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Facility start-up and closure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(6,100)</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11,644</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Lease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Litigation (recovery) costs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(17,023)</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13,267</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(29,331)</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(29,417)</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60</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62" w:name="page63"/>
    <w:bookmarkEnd w:id="62"/>
    <w:p>
      <w:pPr>
        <w:ind w:firstLine="648"/>
        <w:spacing w:after="0" w:line="277" w:lineRule="auto"/>
        <w:rPr>
          <w:sz w:val="20"/>
          <w:szCs w:val="20"/>
          <w:color w:val="auto"/>
        </w:rPr>
      </w:pPr>
      <w:r>
        <w:rPr>
          <w:rFonts w:ascii="Arial" w:cs="Arial" w:eastAsia="Arial" w:hAnsi="Arial"/>
          <w:sz w:val="18"/>
          <w:szCs w:val="18"/>
          <w:color w:val="auto"/>
        </w:rPr>
        <w:t>Adjusted EBITDA should not be considered in isolation from, or as a substitute for, net loss. There are a number of limitations related to the use of adjusted EBITDA as compared to net loss, the closest comparable GAAP measure. Adjusted EBITDA excludes: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amortization expenses, although these are non-cash charges, the assets being depreciated and amortized may have to be replaced in the future;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impairment charges, as the charges are not expected to be a recurring business activity;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Non-cash other than temporary write-down of convertible notes receivable, as the charges are not expected to be a recurring business activity;</w:t>
      </w:r>
    </w:p>
    <w:p>
      <w:pPr>
        <w:spacing w:after="0" w:line="275"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expense, net;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incurred to start up new facilities such as Sweetwater Colorado, and to fund emerging market operations such as Malta and our German cultivation facilities and closure costs to run facilities through the wind-down of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 expense, to conform with competitors who report under IFRS;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Transaction costs includes acquisition related expenses, which vary significantly by transactions and are excluded to evaluate ongoing operating results;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(recovery) costs includes costs related to ongoing litigations, legal settlements and recoveries which are excluded to evaluate ongoing operating results;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Restructuring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of purchase accounting step-up in inventory value included in costs of sales - product costs;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are a significant recurring expense or recovery in our business in the future and reduce or increase cash available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(“GAAP”). A detailed discussion of our significant accounting policies can be found in Part II, Item 8, Note 3,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and the impact and risks associated with our accounting policies are discussed throughout this Form 10</w:t>
      </w:r>
      <w:r>
        <w:rPr>
          <w:rFonts w:ascii="MS PGothic" w:cs="MS PGothic" w:eastAsia="MS PGothic" w:hAnsi="MS PGothic"/>
          <w:sz w:val="17"/>
          <w:szCs w:val="17"/>
          <w:color w:val="auto"/>
        </w:rPr>
        <w:t>‑</w:t>
      </w:r>
      <w:r>
        <w:rPr>
          <w:rFonts w:ascii="Arial" w:cs="Arial" w:eastAsia="Arial" w:hAnsi="Arial"/>
          <w:sz w:val="17"/>
          <w:szCs w:val="17"/>
          <w:color w:val="auto"/>
        </w:rPr>
        <w:t>K and in the Notes to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We have identified certain policies and estimates as critical to our business operations and the understanding of our past or present results of operations related to (i) long-term investments and convertible notes receivable, (ii) estimated useful lives, impairment consideration and amortization of capital and intangible assets, (iii) stock-based compensation, (iv) business combinations, (v) convertible debentures and (vi) warrant liability.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ind w:left="320"/>
        <w:spacing w:after="0"/>
        <w:tabs>
          <w:tab w:leader="none" w:pos="6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Revenue recognition</w:t>
      </w:r>
    </w:p>
    <w:p>
      <w:pPr>
        <w:spacing w:after="0" w:line="225" w:lineRule="exact"/>
        <w:rPr>
          <w:sz w:val="20"/>
          <w:szCs w:val="20"/>
          <w:color w:val="auto"/>
        </w:rPr>
      </w:pPr>
    </w:p>
    <w:p>
      <w:pPr>
        <w:jc w:val="both"/>
        <w:ind w:left="160" w:firstLine="648"/>
        <w:spacing w:after="0" w:line="263" w:lineRule="auto"/>
        <w:rPr>
          <w:sz w:val="20"/>
          <w:szCs w:val="20"/>
          <w:color w:val="auto"/>
        </w:rPr>
      </w:pPr>
      <w:r>
        <w:rPr>
          <w:rFonts w:ascii="Arial" w:cs="Arial" w:eastAsia="Arial" w:hAnsi="Arial"/>
          <w:sz w:val="18"/>
          <w:szCs w:val="18"/>
          <w:color w:val="auto"/>
        </w:rPr>
        <w:t>Revenue is recognized when the control of the promised goods, through performance obligation, is transferred to the customer in an amount that reflects the consideration we expect to be entitled to in exchange for the performance obligations or as advisory services are provided. Payments received for the goods or services in advance of performance are recognized as a contract liability.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transaction price for the sale of goods, the Company considers the effects of variable consideration and the existence of significant financing components, if any.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(ii) Valuation of inventory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 to Part II, Item 8,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details on our inventory cost policy.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 Changes in the regulatory structure, lack of retail distribution locations or lack of consumer demand could result in future inventory reserves.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(iii) Impairment of goodwill and indefinite-lived intangible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(iv) 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measure and recognize compensation expenses for stock options and restricted stock units (“RSUs”) to employees, directors and consultants on a straight-line basis over the vesting period based on their grant date fair values. We estimate the fair value of stock options on the date of grant using the Black-Scholes option pricing model. The fair value of RSUs is based on the share price as at the date of grant. We estimate forfeitures at the time of grant and revise these estimates in subsequent periods if actual forfeitures differ from those estimates.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8"/>
          <w:szCs w:val="18"/>
          <w:color w:val="auto"/>
        </w:rPr>
        <w:t>Determining the estimated fair value at the grant date requires judgment in determining the appropriate valuation model and assumptions, including the fair value of common shares on the grant date, risk-free rate, volatility rate, annual dividend yield and the expected term. Volatility is estimated by using the historical volatility of the accounting acquirer and, other companies that we consider comparable and have trading and volatility history.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 Business combinations and goodwill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use judgement in applying the acquisition method of accounting for business combinations and estimates to value contingent consideration, identifiable assets and liabilities assumed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 Convertible notes receivable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Convertible notes receivables include various investments in which the Company has the right, or potential right to convert the indenture into common stock shares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If the cost of an investment exceeds its fair value, we evaluate,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(vii)Warrants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Warrants are accounted for in accordance with applicable accounting guidance provided in ASC Topic 815, Derivatives and Hedging – Contracts in Entity's Own Equity (“ASC 815”), as either liabilities or as equity instruments depending on the specific terms of the warrant agreement. Our warrants are classified as liabilities and are recorded at fair value. The warrants are subject to re-measurement at each settlement date and at each balance sheet date and any change in fair value is recognized as a component of change in fair value of warrant liability in the statements of net loss and comprehensive loss. Transaction costs allocated to warrants that are presented as a liability are expensed immediately within transaction costs in the statements of net loss and comprehensive loss.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estimate the fair value of the warrant liability using a Black-Scholes pricing model. We are required to make assumptions and estimates in 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(viii)Convertible debentures</w:t>
      </w:r>
    </w:p>
    <w:p>
      <w:pPr>
        <w:spacing w:after="0" w:line="225" w:lineRule="exact"/>
        <w:rPr>
          <w:sz w:val="20"/>
          <w:szCs w:val="20"/>
          <w:color w:val="auto"/>
        </w:rPr>
      </w:pPr>
    </w:p>
    <w:p>
      <w:pPr>
        <w:jc w:val="both"/>
        <w:ind w:left="160" w:firstLine="648"/>
        <w:spacing w:after="0" w:line="296" w:lineRule="auto"/>
        <w:rPr>
          <w:sz w:val="20"/>
          <w:szCs w:val="20"/>
          <w:color w:val="auto"/>
        </w:rPr>
      </w:pPr>
      <w:r>
        <w:rPr>
          <w:rFonts w:ascii="Arial" w:cs="Arial" w:eastAsia="Arial" w:hAnsi="Arial"/>
          <w:sz w:val="16"/>
          <w:szCs w:val="16"/>
          <w:color w:val="auto"/>
        </w:rPr>
        <w:t xml:space="preserve">The Company accounts for its convertible debentures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whereby the convertible instrument is initially accounted for as a single unit of account, unless it contains a derivative that must be bifurcated from the host contract in accordance with ASC 815-15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 </w:t>
      </w:r>
      <w:r>
        <w:rPr>
          <w:rFonts w:ascii="Arial" w:cs="Arial" w:eastAsia="Arial" w:hAnsi="Arial"/>
          <w:sz w:val="16"/>
          <w:szCs w:val="16"/>
          <w:i w:val="1"/>
          <w:iCs w:val="1"/>
          <w:color w:val="auto"/>
        </w:rPr>
        <w:t>Embedded Derivatives</w:t>
      </w:r>
      <w:r>
        <w:rPr>
          <w:rFonts w:ascii="Arial" w:cs="Arial" w:eastAsia="Arial" w:hAnsi="Arial"/>
          <w:sz w:val="16"/>
          <w:szCs w:val="16"/>
          <w:color w:val="auto"/>
        </w:rPr>
        <w:t xml:space="preserve"> or the substantial premium model in ASC 470-20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and Other Options </w:t>
      </w:r>
      <w:r>
        <w:rPr>
          <w:rFonts w:ascii="Arial" w:cs="Arial" w:eastAsia="Arial" w:hAnsi="Arial"/>
          <w:sz w:val="16"/>
          <w:szCs w:val="16"/>
          <w:color w:val="auto"/>
        </w:rPr>
        <w:t>applies. Where the substantial premium model applies, the premium is recorded in additional paid-in capital. The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discount is amortized over the period during which the convertible notes are expected to be outstanding as additional non-cash interest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ind w:left="160" w:firstLine="648"/>
        <w:spacing w:after="0" w:line="255" w:lineRule="auto"/>
        <w:rPr>
          <w:sz w:val="20"/>
          <w:szCs w:val="20"/>
          <w:color w:val="auto"/>
        </w:rPr>
      </w:pPr>
      <w:r>
        <w:rPr>
          <w:rFonts w:ascii="Arial" w:cs="Arial" w:eastAsia="Arial" w:hAnsi="Arial"/>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spacing w:after="0" w:line="192" w:lineRule="exact"/>
        <w:rPr>
          <w:sz w:val="20"/>
          <w:szCs w:val="20"/>
          <w:color w:val="auto"/>
        </w:rPr>
      </w:pPr>
    </w:p>
    <w:p>
      <w:pPr>
        <w:jc w:val="both"/>
        <w:ind w:left="160" w:firstLine="648"/>
        <w:spacing w:after="0" w:line="273" w:lineRule="auto"/>
        <w:rPr>
          <w:sz w:val="20"/>
          <w:szCs w:val="20"/>
          <w:color w:val="auto"/>
        </w:rPr>
      </w:pPr>
      <w:r>
        <w:rPr>
          <w:rFonts w:ascii="Arial" w:cs="Arial" w:eastAsia="Arial" w:hAnsi="Arial"/>
          <w:sz w:val="17"/>
          <w:szCs w:val="17"/>
          <w:color w:val="auto"/>
        </w:rPr>
        <w:t xml:space="preserve">For convertible debentures with an embedded conversion feature that did not meet the equity scope exception from derivative accounting pursuant to ASC 815-15, the Company elected the fair value option under ASC 825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Standards and Interpretations Applicable Effective June 1,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Refer to Part II, Item 8, Note 3,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of this Form 10-K for additional information on changes in accounting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new standards or interpretations applicable to the Company during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actively manage our cash and investments in order to internally fund operating needs, make scheduled interest and principal payments on our borrowings, and make acquisitions. On March 3, 2022, we entered into an at the market offering arrangement (the "ATM Program") pursuant to which we offered and sold our common stock having an aggregate offering price of up to $400 million. The ATM Program was intended to strengthen our balance sheet and improve our liquidity position and was utilized to offer and sell common stock having a total of $400 million. The Company fully completed its sales of shares under the ATM Program during the fiscal year. In addition, the Company issued additional convertible debentures payable (Note 17) to pay off certain existing convertible debentures. We believe that existing cash, cash equivalents, short-term investments and cash generated by operations, together with received proceeds from the ATM Program and access to external sources of funds, will be sufficient to meet our domestic and foreign capital needs for a short and long term outlook.</w:t>
      </w:r>
    </w:p>
    <w:p>
      <w:pPr>
        <w:spacing w:after="0" w:line="1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the Company's short-term liquidity requirements, we are focused on generating positive cash flows from operations and being free cash flow positive. As a result of delays in legalization across multiple markets, management continues to reduce operations, headcount, as well as the elimination of other discretionary operational costs. Some of these actions may be less accretive to our Adjusted EBITDA in the short term, however we believe that they will be required for our liquidity aspirations in the near term future. Additionally, the Company continues to invest our excess cash in the short-term in marketable securities which are comprised of U.S. treasury bills and term deposits with major Canadian banks.</w:t>
      </w:r>
    </w:p>
    <w:p>
      <w:pPr>
        <w:spacing w:after="0" w:line="17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For the Company's long-term liquidity requirements, we will be focused on funding operations through profitable organic and inorganic growth through acquisitions. We may need to take on additional debt or equity financing arrangements in order to achieve these ambitions on a long-term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ind w:left="500"/>
        <w:spacing w:after="0"/>
        <w:rPr>
          <w:sz w:val="20"/>
          <w:szCs w:val="20"/>
          <w:color w:val="auto"/>
        </w:rPr>
      </w:pPr>
      <w:r>
        <w:rPr>
          <w:rFonts w:ascii="Arial" w:cs="Arial" w:eastAsia="Arial" w:hAnsi="Arial"/>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rPr>
              <w:t>For the Year ended May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Change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6"/>
              </w:rPr>
              <w:t>2023 vs. 2022</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2022 vs. 2021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(177,262)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185,168</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(132,545)</w:t>
            </w:r>
          </w:p>
        </w:tc>
        <w:tc>
          <w:tcPr>
            <w:tcW w:w="4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investing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(285,111)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(21,533)</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(263,578)</w:t>
            </w:r>
          </w:p>
        </w:tc>
        <w:tc>
          <w:tcPr>
            <w:tcW w:w="4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1,224%</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(67,638)</w:t>
            </w:r>
          </w:p>
        </w:tc>
        <w:tc>
          <w:tcPr>
            <w:tcW w:w="4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128,196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(58,038)</w:t>
            </w: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4"/>
              </w:rPr>
              <w:t>Effect on cash of foreign currency translation</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(4,082)</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Cash and cash equivalents, beginning of</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415,909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488,466</w:t>
            </w:r>
          </w:p>
        </w:tc>
        <w:tc>
          <w:tcPr>
            <w:tcW w:w="2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360,646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(72,557)</w:t>
            </w:r>
          </w:p>
        </w:tc>
        <w:tc>
          <w:tcPr>
            <w:tcW w:w="44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127,820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415,909</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488,466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(209,277)</w:t>
            </w: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(72,557)</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241,897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241,897</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NM</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2"/>
              </w:rPr>
              <w:t>NM</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Cash and marketable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448,529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415,909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488,466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32,620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(72,557)</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improvement in net cash provided by operating activities of $7.9 million during the year ended May 31, 2023, compared to the net cash used in operating activities of $177.3 million in the prior year same period is primarily related to improved operating efficiencies realized through our synergy and cost optimization programs, improved management of our working capital requirements, the $18.3 million of the cash collected from the HTI Share Consideration’s purchase price derivative and the $33.0 million of cash received from the SLC Settlement.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increase in net cash used in investing activities to $285.1 million from $21.5 million in 2023 compared to 2022 changed primarily due to the $243.1 million purchase of marketable securities and the $26.7 million for our acquisition of Montauk Brewing Company.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cash provided by financing activities to $70.2 million from $128.2 million in 2023 compared to 2022 is primarily due to less funds received from the ATM financing completed in fiscal year 2023, and the early payment on the Company’s convertible debentures of $187.4 million in fiscal year 2023 compared to $88.0 million in fiscal year 2022, offset by the convertible debt financing for $145.1 million completed in fiscal year 2023 that did not occur in fiscal year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resources and working capital requirements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constantly monitors and manages its cash flows to assess the liquidity necessary to fund operations. As of May 31, 2023, the Company maintained $448.5 million of cash and cash equivalents on hand and marketable securities, compared to $415.9 million in cash and cash equivalents at May 31, 2022.</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Working capital provides funds for the Company to meet its operational and capital requirements. As of May 31, 2023, the Company maintained working capital of $340.1 million. We historically financed our operations through the issuance of common stock, sale of convertible notes and revenue generating activities. While we believe we have sufficient cash to meet existing working capital requirements in the short term, we may need additional sources of capital and/or financing, to meet our U.S. growth ambitions, expansion of our international operations and other strategic transactions.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color w:val="auto"/>
                <w:w w:val="90"/>
              </w:rPr>
              <w:t>We lease various facilities, under non-cancelable operating leases, which expire at various dates through September 2040: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Operating</w:t>
            </w:r>
          </w:p>
        </w:tc>
      </w:tr>
      <w:tr>
        <w:trPr>
          <w:trHeight w:val="234"/>
        </w:trPr>
        <w:tc>
          <w:tcPr>
            <w:tcW w:w="9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leases</w:t>
            </w: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r>
      <w:tr>
        <w:trPr>
          <w:trHeight w:val="216"/>
        </w:trPr>
        <w:tc>
          <w:tcPr>
            <w:tcW w:w="9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5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(7,952)</w:t>
            </w:r>
          </w:p>
        </w:tc>
      </w:tr>
      <w:tr>
        <w:trPr>
          <w:trHeight w:val="20"/>
        </w:trPr>
        <w:tc>
          <w:tcPr>
            <w:tcW w:w="9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9540" w:type="dxa"/>
            <w:vAlign w:val="bottom"/>
          </w:tcPr>
          <w:p>
            <w:pPr>
              <w:spacing w:after="0"/>
              <w:rPr>
                <w:sz w:val="20"/>
                <w:szCs w:val="20"/>
                <w:color w:val="auto"/>
              </w:rPr>
            </w:pPr>
            <w:r>
              <w:rPr>
                <w:rFonts w:ascii="Arial" w:cs="Arial" w:eastAsia="Arial" w:hAnsi="Arial"/>
                <w:sz w:val="18"/>
                <w:szCs w:val="18"/>
                <w:color w:val="auto"/>
              </w:rPr>
              <w:t>Obligations recognized</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and other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payments for long-term debt, convertible debentures, material purchase commitments and constructions commitments,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Thereafter</w:t>
            </w:r>
          </w:p>
        </w:tc>
        <w:tc>
          <w:tcPr>
            <w:tcW w:w="100" w:type="dxa"/>
            <w:vAlign w:val="bottom"/>
          </w:tcPr>
          <w:p>
            <w:pPr>
              <w:spacing w:after="0"/>
              <w:rPr>
                <w:sz w:val="20"/>
                <w:szCs w:val="20"/>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71,099</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464,070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177,330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136,740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8,410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156,088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as disclosed elsewhere in this Part II, Item 7,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w:t>
      </w:r>
      <w:r>
        <w:rPr>
          <w:rFonts w:ascii="Arial" w:cs="Arial" w:eastAsia="Arial" w:hAnsi="Arial"/>
          <w:sz w:val="18"/>
          <w:szCs w:val="18"/>
          <w:color w:val="auto"/>
        </w:rPr>
        <w:t>, there have been no material changes with respect to the contractual obligations of the Company during the year-to-date period except for those related to the Company’s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exposure to the following risks from its use of financial instruments: credit; liquidity; currency rate; and, interest rate price.</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The maximum credit exposure at May 31, 2023,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left="320"/>
        <w:spacing w:after="0"/>
        <w:rPr>
          <w:sz w:val="20"/>
          <w:szCs w:val="20"/>
          <w:color w:val="auto"/>
        </w:rPr>
      </w:pPr>
      <w:r>
        <w:rPr>
          <w:rFonts w:ascii="Arial" w:cs="Arial" w:eastAsia="Arial" w:hAnsi="Arial"/>
          <w:sz w:val="18"/>
          <w:szCs w:val="18"/>
          <w:b w:val="1"/>
          <w:bCs w:val="1"/>
          <w:i w:val="1"/>
          <w:iCs w:val="1"/>
          <w:color w:val="auto"/>
        </w:rPr>
        <w:t>(b) Liquidity risk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at May 31, 2023, the Company’s financial liabilities consist of bank indebtedness and accounts payable and accrued liabilities, which have contractual maturity dates within one-year, long-term debt, and convertible debentures which have contractual maturities over the next five years.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maintains debt service charge and leverage covenants on certain loans secured by its Aphria Diamond facilities and 420 that are measured quarterly. The Company believes that it has sufficient operating room with respect to its financial covenants for the next fiscal year and does not anticipate being in breach of any of its financial covenants.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manages its liquidity risk by reviewing its capital requirements on an ongoing basis. Based on the Company’s working capital position at May 31, 2023, management regards liquidity risk to be low.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Currency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at May 31, 2023,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currently use foreign exchange contracts to hedge its exposure of its foreign currency cash flows as management has determined that this risk is not significant at this point in time.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 Interest rate price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098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820" w:type="dxa"/>
            <w:vAlign w:val="bottom"/>
            <w:gridSpan w:val="6"/>
          </w:tcPr>
          <w:p>
            <w:pPr>
              <w:ind w:left="420"/>
              <w:spacing w:after="0"/>
              <w:rPr>
                <w:sz w:val="20"/>
                <w:szCs w:val="20"/>
                <w:color w:val="auto"/>
              </w:rPr>
            </w:pPr>
            <w:r>
              <w:rPr>
                <w:rFonts w:ascii="Arial" w:cs="Arial" w:eastAsia="Arial" w:hAnsi="Arial"/>
                <w:sz w:val="18"/>
                <w:szCs w:val="18"/>
                <w:b w:val="1"/>
                <w:bCs w:val="1"/>
                <w:color w:val="auto"/>
              </w:rPr>
              <w:t>INDEX TO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54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Consolidated Statement of Financial Position as of May 31, 2023 and 2022</w:t>
            </w:r>
          </w:p>
        </w:tc>
        <w:tc>
          <w:tcPr>
            <w:tcW w:w="55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69</w:t>
            </w:r>
          </w:p>
        </w:tc>
      </w:tr>
      <w:tr>
        <w:trPr>
          <w:trHeight w:val="412"/>
        </w:trPr>
        <w:tc>
          <w:tcPr>
            <w:tcW w:w="10980" w:type="dxa"/>
            <w:vAlign w:val="bottom"/>
            <w:gridSpan w:val="7"/>
          </w:tcPr>
          <w:p>
            <w:pPr>
              <w:spacing w:after="0"/>
              <w:rPr>
                <w:sz w:val="20"/>
                <w:szCs w:val="20"/>
                <w:color w:val="auto"/>
              </w:rPr>
            </w:pPr>
            <w:r>
              <w:rPr>
                <w:rFonts w:ascii="Arial" w:cs="Arial" w:eastAsia="Arial" w:hAnsi="Arial"/>
                <w:sz w:val="18"/>
                <w:szCs w:val="18"/>
                <w:color w:val="0000EE"/>
              </w:rPr>
              <w:t>Consolidated Statements of Loss and Comprehensive Loss for the Years ended May 31, 2023, 2022, and 2021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0000EE"/>
              </w:rPr>
              <w:t>70</w:t>
            </w:r>
          </w:p>
        </w:tc>
      </w:tr>
      <w:tr>
        <w:trPr>
          <w:trHeight w:val="412"/>
        </w:trPr>
        <w:tc>
          <w:tcPr>
            <w:tcW w:w="7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Changes in Equity for the Years ended May 31, 2023, 2022, and 2021</w:t>
            </w: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71</w:t>
            </w:r>
          </w:p>
        </w:tc>
      </w:tr>
      <w:tr>
        <w:trPr>
          <w:trHeight w:val="412"/>
        </w:trPr>
        <w:tc>
          <w:tcPr>
            <w:tcW w:w="70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5"/>
              </w:rPr>
              <w:t>Consolidated Statements of Cash Flows for the Years ended May 31, 2023, 2022, and 2021</w:t>
            </w:r>
          </w:p>
        </w:tc>
        <w:tc>
          <w:tcPr>
            <w:tcW w:w="39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72</w:t>
            </w:r>
          </w:p>
        </w:tc>
      </w:tr>
      <w:tr>
        <w:trPr>
          <w:trHeight w:val="412"/>
        </w:trPr>
        <w:tc>
          <w:tcPr>
            <w:tcW w:w="3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3400" w:type="dxa"/>
            <w:vAlign w:val="bottom"/>
            <w:tcBorders>
              <w:top w:val="single" w:sz="8" w:color="0000EE"/>
            </w:tcBorders>
            <w:gridSpan w:val="3"/>
          </w:tcPr>
          <w:p>
            <w:pPr>
              <w:spacing w:after="0"/>
              <w:rPr>
                <w:sz w:val="24"/>
                <w:szCs w:val="24"/>
                <w:color w:val="auto"/>
              </w:rPr>
            </w:pPr>
          </w:p>
        </w:tc>
        <w:tc>
          <w:tcPr>
            <w:tcW w:w="44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73</w:t>
            </w:r>
          </w:p>
        </w:tc>
      </w:tr>
      <w:tr>
        <w:trPr>
          <w:trHeight w:val="412"/>
        </w:trPr>
        <w:tc>
          <w:tcPr>
            <w:tcW w:w="1098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271</w:t>
            </w:r>
          </w:p>
        </w:tc>
        <w:tc>
          <w:tcPr>
            <w:tcW w:w="260" w:type="dxa"/>
            <w:vAlign w:val="bottom"/>
            <w:gridSpan w:val="2"/>
          </w:tcPr>
          <w:p>
            <w:pPr>
              <w:jc w:val="right"/>
              <w:spacing w:after="0"/>
              <w:rPr>
                <w:sz w:val="20"/>
                <w:szCs w:val="20"/>
                <w:color w:val="auto"/>
              </w:rPr>
            </w:pPr>
            <w:r>
              <w:rPr>
                <w:rFonts w:ascii="Arial" w:cs="Arial" w:eastAsia="Arial" w:hAnsi="Arial"/>
                <w:sz w:val="18"/>
                <w:szCs w:val="18"/>
                <w:color w:val="0000EE"/>
                <w:w w:val="79"/>
              </w:rPr>
              <w:t>118</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r>
      <w:tr>
        <w:trPr>
          <w:trHeight w:val="234"/>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415,909</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95,279</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245,529</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773,029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803,503</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587,499</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1,277,875</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2,008,843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2,641,305</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 equity investees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 receivable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4,307,259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5,449,694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Bank indebtedness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23,381</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157,431</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16,007</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67,823</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Current portion of convertible debentures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280,342</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Long - term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117,879</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Convertible debentures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401,949</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196,638</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1,008,328</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to Note 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760" w:type="dxa"/>
            <w:vAlign w:val="bottom"/>
          </w:tcPr>
          <w:p>
            <w:pPr>
              <w:spacing w:after="0" w:line="201" w:lineRule="exact"/>
              <w:rPr>
                <w:sz w:val="20"/>
                <w:szCs w:val="20"/>
                <w:color w:val="auto"/>
              </w:rPr>
            </w:pPr>
            <w:r>
              <w:rPr>
                <w:rFonts w:ascii="Arial" w:cs="Arial" w:eastAsia="Arial" w:hAnsi="Arial"/>
                <w:sz w:val="18"/>
                <w:szCs w:val="18"/>
                <w:color w:val="auto"/>
                <w:w w:val="91"/>
              </w:rPr>
              <w:t>Common stock ($0.0001 par value; 990,000,000 shares authorized; 656,655,455 and 532,674,887 shares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issued and outstanding,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5,382,367</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(46,610)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(20,764)</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(2,415,507)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(962,851)</w:t>
            </w:r>
          </w:p>
        </w:tc>
      </w:tr>
      <w:tr>
        <w:trPr>
          <w:trHeight w:val="210"/>
        </w:trPr>
        <w:tc>
          <w:tcPr>
            <w:tcW w:w="7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Tilray Brands, Inc. stockholders' equity</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3,315,692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4,398,805</w:t>
            </w:r>
          </w:p>
        </w:tc>
        <w:tc>
          <w:tcPr>
            <w:tcW w:w="100" w:type="dxa"/>
            <w:vAlign w:val="bottom"/>
            <w:tcBorders>
              <w:top w:val="single" w:sz="8" w:color="CCEEFF"/>
            </w:tcBorders>
          </w:tcPr>
          <w:p>
            <w:pPr>
              <w:spacing w:after="0"/>
              <w:rPr>
                <w:sz w:val="18"/>
                <w:szCs w:val="18"/>
                <w:color w:val="auto"/>
              </w:rPr>
            </w:pPr>
          </w:p>
        </w:tc>
      </w:tr>
      <w:tr>
        <w:trPr>
          <w:trHeight w:val="216"/>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4,441,366</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4,307,259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5,449,694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rPr>
              <w:t>For the year ended May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513,085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511,555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389,903</w:t>
            </w:r>
          </w:p>
        </w:tc>
        <w:tc>
          <w:tcPr>
            <w:tcW w:w="10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Selling</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Marketing and promotion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17,539</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(44,650)</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378,241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w w:val="96"/>
              </w:rPr>
              <w:t>Other than temporary change in fair value of convertible notes receivable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(recovery) costs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30,944</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727,218</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255,353</w:t>
            </w:r>
          </w:p>
        </w:tc>
        <w:tc>
          <w:tcPr>
            <w:tcW w:w="10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(27,944)</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(27,977)</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Non-operating income (expense),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(184,838)</w:t>
            </w:r>
          </w:p>
        </w:tc>
      </w:tr>
      <w:tr>
        <w:trPr>
          <w:trHeight w:val="20"/>
        </w:trPr>
        <w:tc>
          <w:tcPr>
            <w:tcW w:w="59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(1,450,181)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(440,674)</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(344,986)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benefits,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(8,972)</w:t>
            </w:r>
          </w:p>
        </w:tc>
      </w:tr>
      <w:tr>
        <w:trPr>
          <w:trHeight w:val="20"/>
        </w:trPr>
        <w:tc>
          <w:tcPr>
            <w:tcW w:w="59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(1,443,000)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(434,132)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(336,014)</w:t>
            </w:r>
          </w:p>
        </w:tc>
      </w:tr>
      <w:tr>
        <w:trPr>
          <w:trHeight w:val="20"/>
        </w:trPr>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net income (loss) attributable to:</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Stockholders of Tilray Brands, Inc.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(1,452,656)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(476,801)</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(367,421)</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(125,306)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156,649</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Unrealized gain (loss) on convertible notes receivable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(71,428)</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(3,824)</w:t>
            </w: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(196,734)</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(1,451,356)</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(630,866)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(183,189)</w:t>
            </w:r>
          </w:p>
        </w:tc>
      </w:tr>
      <w:tr>
        <w:trPr>
          <w:trHeight w:val="20"/>
        </w:trPr>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comprehensive income (loss) attributable to:</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Stockholders of Tilray Brands, Inc.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(1,478,502)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(650,233)</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(214,596)</w:t>
            </w:r>
          </w:p>
        </w:tc>
      </w:tr>
      <w:tr>
        <w:trPr>
          <w:trHeight w:val="216"/>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common shares - basic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617,982,589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481,219,130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269,549,852</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 - diluted</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617,982,589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481,219,130</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269,549,852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6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3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6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3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8"/>
              </w:rPr>
              <w:t>comprehensive</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5"/>
              </w:rPr>
              <w:t>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income (loss)</w:t>
            </w:r>
          </w:p>
        </w:tc>
        <w:tc>
          <w:tcPr>
            <w:tcW w:w="160" w:type="dxa"/>
            <w:vAlign w:val="bottom"/>
          </w:tcPr>
          <w:p>
            <w:pPr>
              <w:spacing w:after="0"/>
              <w:rPr>
                <w:sz w:val="18"/>
                <w:szCs w:val="18"/>
                <w:color w:val="auto"/>
              </w:rPr>
            </w:pPr>
          </w:p>
        </w:tc>
        <w:tc>
          <w:tcPr>
            <w:tcW w:w="9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interests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239"/>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May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240,132,635</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1,366,736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1,274,931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3260" w:type="dxa"/>
            <w:vAlign w:val="bottom"/>
          </w:tcPr>
          <w:p>
            <w:pPr>
              <w:spacing w:after="0"/>
              <w:rPr>
                <w:sz w:val="20"/>
                <w:szCs w:val="20"/>
                <w:color w:val="auto"/>
              </w:rPr>
            </w:pPr>
            <w:r>
              <w:rPr>
                <w:rFonts w:ascii="Arial" w:cs="Arial" w:eastAsia="Arial" w:hAnsi="Arial"/>
                <w:sz w:val="16"/>
                <w:szCs w:val="16"/>
                <w:color w:val="auto"/>
              </w:rPr>
              <w:t>Share issuance - legal settlement</w:t>
            </w:r>
          </w:p>
        </w:tc>
        <w:tc>
          <w:tcPr>
            <w:tcW w:w="920" w:type="dxa"/>
            <w:vAlign w:val="bottom"/>
          </w:tcPr>
          <w:p>
            <w:pPr>
              <w:jc w:val="right"/>
              <w:spacing w:after="0"/>
              <w:rPr>
                <w:sz w:val="20"/>
                <w:szCs w:val="20"/>
                <w:color w:val="auto"/>
              </w:rPr>
            </w:pPr>
            <w:r>
              <w:rPr>
                <w:rFonts w:ascii="Arial" w:cs="Arial" w:eastAsia="Arial" w:hAnsi="Arial"/>
                <w:sz w:val="16"/>
                <w:szCs w:val="16"/>
                <w:color w:val="auto"/>
              </w:rPr>
              <w:t>1,893,858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10,454</w:t>
            </w:r>
          </w:p>
        </w:tc>
        <w:tc>
          <w:tcPr>
            <w:tcW w:w="100" w:type="dxa"/>
            <w:vAlign w:val="bottom"/>
          </w:tcPr>
          <w:p>
            <w:pPr>
              <w:spacing w:after="0"/>
              <w:rPr>
                <w:sz w:val="15"/>
                <w:szCs w:val="15"/>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equity financing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14,610,496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103,537</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SweetWater acquisition</w:t>
            </w:r>
          </w:p>
        </w:tc>
        <w:tc>
          <w:tcPr>
            <w:tcW w:w="920" w:type="dxa"/>
            <w:vAlign w:val="bottom"/>
          </w:tcPr>
          <w:p>
            <w:pPr>
              <w:jc w:val="right"/>
              <w:spacing w:after="0"/>
              <w:rPr>
                <w:sz w:val="20"/>
                <w:szCs w:val="20"/>
                <w:color w:val="auto"/>
              </w:rPr>
            </w:pPr>
            <w:r>
              <w:rPr>
                <w:rFonts w:ascii="Arial" w:cs="Arial" w:eastAsia="Arial" w:hAnsi="Arial"/>
                <w:sz w:val="16"/>
                <w:szCs w:val="16"/>
                <w:color w:val="auto"/>
              </w:rPr>
              <w:t>8,232,810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65,888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65,889</w:t>
            </w: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contract settlement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1,165,861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(40,266)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(18,895)</w:t>
            </w: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Arrangement</w:t>
            </w:r>
          </w:p>
        </w:tc>
        <w:tc>
          <w:tcPr>
            <w:tcW w:w="920" w:type="dxa"/>
            <w:vAlign w:val="bottom"/>
          </w:tcPr>
          <w:p>
            <w:pPr>
              <w:jc w:val="right"/>
              <w:spacing w:after="0"/>
              <w:rPr>
                <w:sz w:val="20"/>
                <w:szCs w:val="20"/>
                <w:color w:val="auto"/>
              </w:rPr>
            </w:pPr>
            <w:r>
              <w:rPr>
                <w:rFonts w:ascii="Arial" w:cs="Arial" w:eastAsia="Arial" w:hAnsi="Arial"/>
                <w:sz w:val="16"/>
                <w:szCs w:val="16"/>
                <w:color w:val="auto"/>
              </w:rPr>
              <w:t>179,635,973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3,204,888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3,204,906</w:t>
            </w: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RSUs exercised</w:t>
            </w:r>
          </w:p>
        </w:tc>
        <w:tc>
          <w:tcPr>
            <w:tcW w:w="920" w:type="dxa"/>
            <w:vAlign w:val="bottom"/>
          </w:tcPr>
          <w:p>
            <w:pPr>
              <w:jc w:val="right"/>
              <w:spacing w:after="0"/>
              <w:rPr>
                <w:sz w:val="20"/>
                <w:szCs w:val="20"/>
                <w:color w:val="auto"/>
              </w:rPr>
            </w:pPr>
            <w:r>
              <w:rPr>
                <w:rFonts w:ascii="Arial" w:cs="Arial" w:eastAsia="Arial" w:hAnsi="Arial"/>
                <w:sz w:val="16"/>
                <w:szCs w:val="16"/>
                <w:color w:val="auto"/>
              </w:rPr>
              <w:t>450,709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Stock-based payments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Settlement of convertible notes receivable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5,277</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to non-controlling interests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(11,855)</w:t>
            </w: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Comprehensive income (loss) for the year</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152,825</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(367,421)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31,407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(183,189)</w:t>
            </w:r>
          </w:p>
        </w:tc>
      </w:tr>
      <w:tr>
        <w:trPr>
          <w:trHeight w:val="23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May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446,440,641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4,792,406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152,668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4,465,313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3"/>
        </w:trPr>
        <w:tc>
          <w:tcPr>
            <w:tcW w:w="3260" w:type="dxa"/>
            <w:vAlign w:val="bottom"/>
          </w:tcPr>
          <w:p>
            <w:pPr>
              <w:spacing w:after="0" w:line="173" w:lineRule="exact"/>
              <w:rPr>
                <w:sz w:val="20"/>
                <w:szCs w:val="20"/>
                <w:color w:val="auto"/>
              </w:rPr>
            </w:pPr>
            <w:r>
              <w:rPr>
                <w:rFonts w:ascii="Arial" w:cs="Arial" w:eastAsia="Arial" w:hAnsi="Arial"/>
                <w:sz w:val="16"/>
                <w:szCs w:val="16"/>
                <w:color w:val="auto"/>
              </w:rPr>
              <w:t>Third party contribution to Superhero</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3260" w:type="dxa"/>
            <w:vAlign w:val="bottom"/>
          </w:tcPr>
          <w:p>
            <w:pPr>
              <w:ind w:left="180"/>
              <w:spacing w:after="0"/>
              <w:rPr>
                <w:sz w:val="20"/>
                <w:szCs w:val="20"/>
                <w:color w:val="auto"/>
              </w:rPr>
            </w:pPr>
            <w:r>
              <w:rPr>
                <w:rFonts w:ascii="Arial" w:cs="Arial" w:eastAsia="Arial" w:hAnsi="Arial"/>
                <w:sz w:val="16"/>
                <w:szCs w:val="16"/>
                <w:color w:val="auto"/>
              </w:rPr>
              <w:t>Acquisition LP</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52,995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52,995</w:t>
            </w:r>
          </w:p>
        </w:tc>
        <w:tc>
          <w:tcPr>
            <w:tcW w:w="100" w:type="dxa"/>
            <w:vAlign w:val="bottom"/>
          </w:tcPr>
          <w:p>
            <w:pPr>
              <w:spacing w:after="0"/>
              <w:rPr>
                <w:sz w:val="18"/>
                <w:szCs w:val="18"/>
                <w:color w:val="auto"/>
              </w:rPr>
            </w:pP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Superhero Acquisition LP</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9,817,061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117,804</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Breckenridge Acquisition</w:t>
            </w:r>
          </w:p>
        </w:tc>
        <w:tc>
          <w:tcPr>
            <w:tcW w:w="920" w:type="dxa"/>
            <w:vAlign w:val="bottom"/>
          </w:tcPr>
          <w:p>
            <w:pPr>
              <w:jc w:val="right"/>
              <w:spacing w:after="0"/>
              <w:rPr>
                <w:sz w:val="20"/>
                <w:szCs w:val="20"/>
                <w:color w:val="auto"/>
              </w:rPr>
            </w:pPr>
            <w:r>
              <w:rPr>
                <w:rFonts w:ascii="Arial" w:cs="Arial" w:eastAsia="Arial" w:hAnsi="Arial"/>
                <w:sz w:val="16"/>
                <w:szCs w:val="16"/>
                <w:color w:val="auto"/>
              </w:rPr>
              <w:t>12,540,479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114,068</w:t>
            </w: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equity financing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51,741,710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262,509</w:t>
            </w:r>
          </w:p>
        </w:tc>
        <w:tc>
          <w:tcPr>
            <w:tcW w:w="100" w:type="dxa"/>
            <w:vAlign w:val="bottom"/>
            <w:shd w:val="clear" w:color="auto" w:fill="CCEEFF"/>
          </w:tcPr>
          <w:p>
            <w:pPr>
              <w:spacing w:after="0"/>
              <w:rPr>
                <w:sz w:val="17"/>
                <w:szCs w:val="17"/>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Share issuance - Double Diamond Holdings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180"/>
              <w:spacing w:after="0"/>
              <w:rPr>
                <w:sz w:val="20"/>
                <w:szCs w:val="20"/>
                <w:color w:val="auto"/>
              </w:rPr>
            </w:pPr>
            <w:r>
              <w:rPr>
                <w:rFonts w:ascii="Arial" w:cs="Arial" w:eastAsia="Arial" w:hAnsi="Arial"/>
                <w:sz w:val="16"/>
                <w:szCs w:val="16"/>
                <w:color w:val="auto"/>
              </w:rPr>
              <w:t>note</w:t>
            </w:r>
          </w:p>
        </w:tc>
        <w:tc>
          <w:tcPr>
            <w:tcW w:w="920" w:type="dxa"/>
            <w:vAlign w:val="bottom"/>
          </w:tcPr>
          <w:p>
            <w:pPr>
              <w:jc w:val="right"/>
              <w:spacing w:after="0"/>
              <w:rPr>
                <w:sz w:val="20"/>
                <w:szCs w:val="20"/>
                <w:color w:val="auto"/>
              </w:rPr>
            </w:pPr>
            <w:r>
              <w:rPr>
                <w:rFonts w:ascii="Arial" w:cs="Arial" w:eastAsia="Arial" w:hAnsi="Arial"/>
                <w:sz w:val="16"/>
                <w:szCs w:val="16"/>
                <w:color w:val="auto"/>
              </w:rPr>
              <w:t>2,677,596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(36,044)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(7,484)</w:t>
            </w: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legal settlement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2,959,386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22,170</w:t>
            </w:r>
          </w:p>
        </w:tc>
        <w:tc>
          <w:tcPr>
            <w:tcW w:w="100" w:type="dxa"/>
            <w:vAlign w:val="bottom"/>
            <w:shd w:val="clear" w:color="auto" w:fill="CCEEFF"/>
          </w:tcPr>
          <w:p>
            <w:pPr>
              <w:spacing w:after="0"/>
              <w:rPr>
                <w:sz w:val="17"/>
                <w:szCs w:val="17"/>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Share issuance - purchase of capital and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180"/>
              <w:spacing w:after="0"/>
              <w:rPr>
                <w:sz w:val="20"/>
                <w:szCs w:val="20"/>
                <w:color w:val="auto"/>
              </w:rPr>
            </w:pPr>
            <w:r>
              <w:rPr>
                <w:rFonts w:ascii="Arial" w:cs="Arial" w:eastAsia="Arial" w:hAnsi="Arial"/>
                <w:sz w:val="16"/>
                <w:szCs w:val="16"/>
                <w:color w:val="auto"/>
              </w:rPr>
              <w:t>intangible assets</w:t>
            </w:r>
          </w:p>
        </w:tc>
        <w:tc>
          <w:tcPr>
            <w:tcW w:w="920" w:type="dxa"/>
            <w:vAlign w:val="bottom"/>
          </w:tcPr>
          <w:p>
            <w:pPr>
              <w:jc w:val="right"/>
              <w:spacing w:after="0"/>
              <w:rPr>
                <w:sz w:val="20"/>
                <w:szCs w:val="20"/>
                <w:color w:val="auto"/>
              </w:rPr>
            </w:pPr>
            <w:r>
              <w:rPr>
                <w:rFonts w:ascii="Arial" w:cs="Arial" w:eastAsia="Arial" w:hAnsi="Arial"/>
                <w:sz w:val="16"/>
                <w:szCs w:val="16"/>
                <w:color w:val="auto"/>
              </w:rPr>
              <w:t>1,289,628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12,146</w:t>
            </w:r>
          </w:p>
        </w:tc>
        <w:tc>
          <w:tcPr>
            <w:tcW w:w="100" w:type="dxa"/>
            <w:vAlign w:val="bottom"/>
          </w:tcPr>
          <w:p>
            <w:pPr>
              <w:spacing w:after="0"/>
              <w:rPr>
                <w:sz w:val="18"/>
                <w:szCs w:val="18"/>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RSUs exercised</w:t>
            </w:r>
          </w:p>
        </w:tc>
        <w:tc>
          <w:tcPr>
            <w:tcW w:w="920" w:type="dxa"/>
            <w:vAlign w:val="bottom"/>
          </w:tcPr>
          <w:p>
            <w:pPr>
              <w:jc w:val="right"/>
              <w:spacing w:after="0"/>
              <w:rPr>
                <w:sz w:val="20"/>
                <w:szCs w:val="20"/>
                <w:color w:val="auto"/>
              </w:rPr>
            </w:pPr>
            <w:r>
              <w:rPr>
                <w:rFonts w:ascii="Arial" w:cs="Arial" w:eastAsia="Arial" w:hAnsi="Arial"/>
                <w:sz w:val="16"/>
                <w:szCs w:val="16"/>
                <w:color w:val="auto"/>
              </w:rPr>
              <w:t>4,489,355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Shares effectively repurchased for employee</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withholding tax</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(8,686)</w:t>
            </w: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35,994</w:t>
            </w: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 for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(173,432)</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(476,801)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(630,866)</w:t>
            </w:r>
          </w:p>
        </w:tc>
      </w:tr>
      <w:tr>
        <w:trPr>
          <w:trHeight w:val="20"/>
        </w:trPr>
        <w:tc>
          <w:tcPr>
            <w:tcW w:w="3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spacing w:after="0"/>
              <w:rPr>
                <w:sz w:val="20"/>
                <w:szCs w:val="20"/>
                <w:color w:val="auto"/>
              </w:rPr>
            </w:pPr>
            <w:r>
              <w:rPr>
                <w:rFonts w:ascii="Arial" w:cs="Arial" w:eastAsia="Arial" w:hAnsi="Arial"/>
                <w:sz w:val="16"/>
                <w:szCs w:val="16"/>
                <w:color w:val="auto"/>
              </w:rPr>
              <w:t>Balance at May 31, 2022</w:t>
            </w:r>
          </w:p>
        </w:tc>
        <w:tc>
          <w:tcPr>
            <w:tcW w:w="920" w:type="dxa"/>
            <w:vAlign w:val="bottom"/>
          </w:tcPr>
          <w:p>
            <w:pPr>
              <w:jc w:val="right"/>
              <w:spacing w:after="0"/>
              <w:rPr>
                <w:sz w:val="20"/>
                <w:szCs w:val="20"/>
                <w:color w:val="auto"/>
              </w:rPr>
            </w:pPr>
            <w:r>
              <w:rPr>
                <w:rFonts w:ascii="Arial" w:cs="Arial" w:eastAsia="Arial" w:hAnsi="Arial"/>
                <w:sz w:val="16"/>
                <w:szCs w:val="16"/>
                <w:color w:val="auto"/>
              </w:rPr>
              <w:t>532,674,887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5,382,367</w:t>
            </w:r>
          </w:p>
        </w:tc>
        <w:tc>
          <w:tcPr>
            <w:tcW w:w="120" w:type="dxa"/>
            <w:vAlign w:val="bottom"/>
          </w:tcPr>
          <w:p>
            <w:pPr>
              <w:spacing w:after="0"/>
              <w:rPr>
                <w:sz w:val="17"/>
                <w:szCs w:val="17"/>
                <w:color w:val="auto"/>
              </w:rPr>
            </w:pPr>
          </w:p>
        </w:tc>
        <w:tc>
          <w:tcPr>
            <w:tcW w:w="300" w:type="dxa"/>
            <w:vAlign w:val="bottom"/>
            <w:gridSpan w:val="2"/>
          </w:tcPr>
          <w:p>
            <w:pPr>
              <w:jc w:val="right"/>
              <w:ind w:right="7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(20,764)</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(962,851)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42,561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4,441,366</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-Montauk 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1,708,521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6,422</w:t>
            </w:r>
          </w:p>
        </w:tc>
        <w:tc>
          <w:tcPr>
            <w:tcW w:w="100" w:type="dxa"/>
            <w:vAlign w:val="bottom"/>
            <w:shd w:val="clear" w:color="auto" w:fill="CCEEFF"/>
          </w:tcPr>
          <w:p>
            <w:pPr>
              <w:spacing w:after="0"/>
              <w:rPr>
                <w:sz w:val="15"/>
                <w:szCs w:val="15"/>
                <w:color w:val="auto"/>
              </w:rPr>
            </w:pPr>
          </w:p>
        </w:tc>
      </w:tr>
      <w:tr>
        <w:trPr>
          <w:trHeight w:val="202"/>
        </w:trPr>
        <w:tc>
          <w:tcPr>
            <w:tcW w:w="3260" w:type="dxa"/>
            <w:vAlign w:val="bottom"/>
          </w:tcPr>
          <w:p>
            <w:pPr>
              <w:spacing w:after="0"/>
              <w:rPr>
                <w:sz w:val="20"/>
                <w:szCs w:val="20"/>
                <w:color w:val="auto"/>
              </w:rPr>
            </w:pPr>
            <w:r>
              <w:rPr>
                <w:rFonts w:ascii="Arial" w:cs="Arial" w:eastAsia="Arial" w:hAnsi="Arial"/>
                <w:sz w:val="16"/>
                <w:szCs w:val="16"/>
                <w:color w:val="auto"/>
              </w:rPr>
              <w:t>Share issuance - equity financing</w:t>
            </w:r>
          </w:p>
        </w:tc>
        <w:tc>
          <w:tcPr>
            <w:tcW w:w="920" w:type="dxa"/>
            <w:vAlign w:val="bottom"/>
          </w:tcPr>
          <w:p>
            <w:pPr>
              <w:jc w:val="right"/>
              <w:spacing w:after="0"/>
              <w:rPr>
                <w:sz w:val="20"/>
                <w:szCs w:val="20"/>
                <w:color w:val="auto"/>
              </w:rPr>
            </w:pPr>
            <w:r>
              <w:rPr>
                <w:rFonts w:ascii="Arial" w:cs="Arial" w:eastAsia="Arial" w:hAnsi="Arial"/>
                <w:sz w:val="16"/>
                <w:szCs w:val="16"/>
                <w:color w:val="auto"/>
              </w:rPr>
              <w:t>32,481,149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129,590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129,593</w:t>
            </w:r>
          </w:p>
        </w:tc>
        <w:tc>
          <w:tcPr>
            <w:tcW w:w="100" w:type="dxa"/>
            <w:vAlign w:val="bottom"/>
          </w:tcPr>
          <w:p>
            <w:pPr>
              <w:spacing w:after="0"/>
              <w:rPr>
                <w:sz w:val="17"/>
                <w:szCs w:val="17"/>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6"/>
              </w:rPr>
              <w:t>Share issuance- purchase of HEXO convertible</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 receivable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33,314,412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107,272</w:t>
            </w:r>
          </w:p>
        </w:tc>
        <w:tc>
          <w:tcPr>
            <w:tcW w:w="100" w:type="dxa"/>
            <w:vAlign w:val="bottom"/>
            <w:shd w:val="clear" w:color="auto" w:fill="CCEEFF"/>
          </w:tcPr>
          <w:p>
            <w:pPr>
              <w:spacing w:after="0"/>
              <w:rPr>
                <w:sz w:val="18"/>
                <w:szCs w:val="18"/>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HTI Convertible Note - conversion feature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9,055</w:t>
            </w:r>
          </w:p>
        </w:tc>
        <w:tc>
          <w:tcPr>
            <w:tcW w:w="100" w:type="dxa"/>
            <w:vAlign w:val="bottom"/>
          </w:tcPr>
          <w:p>
            <w:pPr>
              <w:spacing w:after="0"/>
              <w:rPr>
                <w:sz w:val="17"/>
                <w:szCs w:val="17"/>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Double Diamond Holdings</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16,114,406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12,467</w:t>
            </w:r>
          </w:p>
        </w:tc>
        <w:tc>
          <w:tcPr>
            <w:tcW w:w="100" w:type="dxa"/>
            <w:vAlign w:val="bottom"/>
            <w:shd w:val="clear" w:color="auto" w:fill="CCEEFF"/>
          </w:tcPr>
          <w:p>
            <w:pPr>
              <w:spacing w:after="0"/>
              <w:rPr>
                <w:sz w:val="18"/>
                <w:szCs w:val="18"/>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Share issuance - options exercised</w:t>
            </w:r>
          </w:p>
        </w:tc>
        <w:tc>
          <w:tcPr>
            <w:tcW w:w="920" w:type="dxa"/>
            <w:vAlign w:val="bottom"/>
          </w:tcPr>
          <w:p>
            <w:pPr>
              <w:jc w:val="right"/>
              <w:spacing w:after="0"/>
              <w:rPr>
                <w:sz w:val="20"/>
                <w:szCs w:val="20"/>
                <w:color w:val="auto"/>
              </w:rPr>
            </w:pPr>
            <w:r>
              <w:rPr>
                <w:rFonts w:ascii="Arial" w:cs="Arial" w:eastAsia="Arial" w:hAnsi="Arial"/>
                <w:sz w:val="16"/>
                <w:szCs w:val="16"/>
                <w:color w:val="auto"/>
              </w:rPr>
              <w:t>7,960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1,854,120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w w:val="93"/>
              </w:rPr>
              <w:t>Share issuance - convertible notes share lending</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agreement</w:t>
            </w:r>
          </w:p>
        </w:tc>
        <w:tc>
          <w:tcPr>
            <w:tcW w:w="920" w:type="dxa"/>
            <w:vAlign w:val="bottom"/>
          </w:tcPr>
          <w:p>
            <w:pPr>
              <w:jc w:val="right"/>
              <w:spacing w:after="0"/>
              <w:rPr>
                <w:sz w:val="20"/>
                <w:szCs w:val="20"/>
                <w:color w:val="auto"/>
              </w:rPr>
            </w:pPr>
            <w:r>
              <w:rPr>
                <w:rFonts w:ascii="Arial" w:cs="Arial" w:eastAsia="Arial" w:hAnsi="Arial"/>
                <w:sz w:val="16"/>
                <w:szCs w:val="16"/>
                <w:color w:val="auto"/>
              </w:rPr>
              <w:t>38,500,000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26,161</w:t>
            </w:r>
          </w:p>
        </w:tc>
        <w:tc>
          <w:tcPr>
            <w:tcW w:w="100" w:type="dxa"/>
            <w:vAlign w:val="bottom"/>
          </w:tcPr>
          <w:p>
            <w:pPr>
              <w:spacing w:after="0"/>
              <w:rPr>
                <w:sz w:val="18"/>
                <w:szCs w:val="18"/>
                <w:color w:val="auto"/>
              </w:rPr>
            </w:pPr>
          </w:p>
        </w:tc>
      </w:tr>
      <w:tr>
        <w:trPr>
          <w:trHeight w:val="196"/>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Equity component related to issuance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convertible debt, 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18,415</w:t>
            </w:r>
          </w:p>
        </w:tc>
        <w:tc>
          <w:tcPr>
            <w:tcW w:w="100" w:type="dxa"/>
            <w:vAlign w:val="bottom"/>
            <w:shd w:val="clear" w:color="auto" w:fill="CCEEFF"/>
          </w:tcPr>
          <w:p>
            <w:pPr>
              <w:spacing w:after="0"/>
              <w:rPr>
                <w:sz w:val="18"/>
                <w:szCs w:val="18"/>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Shares effectively repurchased for employee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180"/>
              <w:spacing w:after="0"/>
              <w:rPr>
                <w:sz w:val="20"/>
                <w:szCs w:val="20"/>
                <w:color w:val="auto"/>
              </w:rPr>
            </w:pPr>
            <w:r>
              <w:rPr>
                <w:rFonts w:ascii="Arial" w:cs="Arial" w:eastAsia="Arial" w:hAnsi="Arial"/>
                <w:sz w:val="16"/>
                <w:szCs w:val="16"/>
                <w:color w:val="auto"/>
              </w:rPr>
              <w:t>withholding tax</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(1,189)</w:t>
            </w: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39,595</w:t>
            </w: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w w:val="98"/>
              </w:rPr>
              <w:t>Dividends declared to non-controlling interests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(7,858)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(7,858)</w:t>
            </w: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 for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(25,846)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(1,452,656)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(1,451,356)</w:t>
            </w:r>
          </w:p>
        </w:tc>
      </w:tr>
      <w:tr>
        <w:trPr>
          <w:trHeight w:val="20"/>
        </w:trPr>
        <w:tc>
          <w:tcPr>
            <w:tcW w:w="3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spacing w:after="0"/>
              <w:rPr>
                <w:sz w:val="20"/>
                <w:szCs w:val="20"/>
                <w:color w:val="auto"/>
              </w:rPr>
            </w:pPr>
            <w:r>
              <w:rPr>
                <w:rFonts w:ascii="Arial" w:cs="Arial" w:eastAsia="Arial" w:hAnsi="Arial"/>
                <w:sz w:val="16"/>
                <w:szCs w:val="16"/>
                <w:color w:val="auto"/>
              </w:rPr>
              <w:t>Balance at May 31, 2023</w:t>
            </w:r>
          </w:p>
        </w:tc>
        <w:tc>
          <w:tcPr>
            <w:tcW w:w="920" w:type="dxa"/>
            <w:vAlign w:val="bottom"/>
          </w:tcPr>
          <w:p>
            <w:pPr>
              <w:jc w:val="right"/>
              <w:spacing w:after="0"/>
              <w:rPr>
                <w:sz w:val="20"/>
                <w:szCs w:val="20"/>
                <w:color w:val="auto"/>
              </w:rPr>
            </w:pPr>
            <w:r>
              <w:rPr>
                <w:rFonts w:ascii="Arial" w:cs="Arial" w:eastAsia="Arial" w:hAnsi="Arial"/>
                <w:sz w:val="16"/>
                <w:szCs w:val="16"/>
                <w:color w:val="auto"/>
              </w:rPr>
              <w:t>656,655,455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5,777,743</w:t>
            </w:r>
          </w:p>
        </w:tc>
        <w:tc>
          <w:tcPr>
            <w:tcW w:w="120" w:type="dxa"/>
            <w:vAlign w:val="bottom"/>
          </w:tcPr>
          <w:p>
            <w:pPr>
              <w:spacing w:after="0"/>
              <w:rPr>
                <w:sz w:val="17"/>
                <w:szCs w:val="17"/>
                <w:color w:val="auto"/>
              </w:rPr>
            </w:pPr>
          </w:p>
        </w:tc>
        <w:tc>
          <w:tcPr>
            <w:tcW w:w="300" w:type="dxa"/>
            <w:vAlign w:val="bottom"/>
            <w:gridSpan w:val="2"/>
          </w:tcPr>
          <w:p>
            <w:pPr>
              <w:jc w:val="right"/>
              <w:ind w:right="7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(46,610)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7"/>
              </w:rPr>
              <w:t>(2,415,507)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14,251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3,329,943</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For the year</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ended May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 operating activities: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(1,443,000)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(434,132)</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(336,014)</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Deferred income tax recovery</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(31,953)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(27,538)</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(24,873)</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foreign exchange loss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49,342</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154,592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67,832</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capital assets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(682)</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Inventory valuation write down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19,919</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934,001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378,240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Other than temporary change in fair value of convertible notes receivable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246,330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non-cash items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(9,647)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35,994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17,351</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long-term investments &amp; equity investments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Loss (gain) on derivative instruments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31,213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(227,583)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169,537</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(44,650)</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Transaction costs associated with business acquisitions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59,917</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Change in non-cash working capital:</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(5,842)</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(23,512)</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Prepaids and other current assets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(6,772)</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(12,934)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(45,749)</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(55,205)</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(44,652)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7"/>
                <w:szCs w:val="17"/>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(177,262)</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(44,717)</w:t>
            </w:r>
          </w:p>
        </w:tc>
      </w:tr>
      <w:tr>
        <w:trPr>
          <w:trHeight w:val="196"/>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 investing activities:</w:t>
            </w:r>
          </w:p>
        </w:tc>
        <w:tc>
          <w:tcPr>
            <w:tcW w:w="7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Investment in capital and intangible assets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(20,800)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(34,064)</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(38,874)</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disposal of capital and intangible assets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Promissory notes advances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(2,419)</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notes receivable</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Change in marketable securities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(241,897)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disposal of long-term investments and equity investees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Net cash (paid for) acquired in business acquisition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(26,718)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66,608</w:t>
            </w:r>
          </w:p>
        </w:tc>
        <w:tc>
          <w:tcPr>
            <w:tcW w:w="100" w:type="dxa"/>
            <w:vAlign w:val="bottom"/>
          </w:tcPr>
          <w:p>
            <w:pPr>
              <w:spacing w:after="0"/>
              <w:rPr>
                <w:sz w:val="17"/>
                <w:szCs w:val="17"/>
                <w:color w:val="auto"/>
              </w:rPr>
            </w:pPr>
          </w:p>
        </w:tc>
      </w:tr>
      <w:tr>
        <w:trPr>
          <w:trHeight w:val="19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investing activities</w:t>
            </w: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(285,111)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(21,533)</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600" w:type="dxa"/>
            <w:vAlign w:val="bottom"/>
          </w:tcPr>
          <w:p>
            <w:pPr>
              <w:spacing w:after="0"/>
              <w:rPr>
                <w:sz w:val="20"/>
                <w:szCs w:val="20"/>
                <w:color w:val="auto"/>
              </w:rPr>
            </w:pPr>
            <w:r>
              <w:rPr>
                <w:rFonts w:ascii="Arial" w:cs="Arial" w:eastAsia="Arial" w:hAnsi="Arial"/>
                <w:sz w:val="16"/>
                <w:szCs w:val="16"/>
                <w:b w:val="1"/>
                <w:bCs w:val="1"/>
                <w:color w:val="auto"/>
              </w:rPr>
              <w:t>Cash provided by (used in) financing activities: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capital issued, net of cash issuance costs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102,550</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Proceeds from warrants and options exercised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5,403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effectively repurchased for employee withholding tax</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(8,686)</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Proceeds from convertible debentures issuance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145,052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convertible debentures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(187,394)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(88,026)</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102,798</w:t>
            </w:r>
          </w:p>
        </w:tc>
        <w:tc>
          <w:tcPr>
            <w:tcW w:w="10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long-term debt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(40,254)</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(64,559)</w:t>
            </w: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Repayment of lease liabilities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(4,672)</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(1,058)</w:t>
            </w:r>
          </w:p>
        </w:tc>
      </w:tr>
      <w:tr>
        <w:trPr>
          <w:trHeight w:val="20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increase in bank indebtedness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rPr>
                <w:sz w:val="20"/>
                <w:szCs w:val="20"/>
                <w:color w:val="auto"/>
              </w:rPr>
            </w:pPr>
            <w:r>
              <w:rPr>
                <w:rFonts w:ascii="Arial" w:cs="Arial" w:eastAsia="Arial" w:hAnsi="Arial"/>
                <w:sz w:val="16"/>
                <w:szCs w:val="16"/>
                <w:color w:val="auto"/>
              </w:rPr>
              <w:t>Dividend paid to NCI</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(7,484)</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(23,895)</w:t>
            </w:r>
          </w:p>
        </w:tc>
      </w:tr>
      <w:tr>
        <w:trPr>
          <w:trHeight w:val="19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70,158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128,196</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600" w:type="dxa"/>
            <w:vAlign w:val="bottom"/>
          </w:tcPr>
          <w:p>
            <w:pPr>
              <w:spacing w:after="0"/>
              <w:rPr>
                <w:sz w:val="20"/>
                <w:szCs w:val="20"/>
                <w:color w:val="auto"/>
              </w:rPr>
            </w:pPr>
            <w:r>
              <w:rPr>
                <w:rFonts w:ascii="Arial" w:cs="Arial" w:eastAsia="Arial" w:hAnsi="Arial"/>
                <w:sz w:val="16"/>
                <w:szCs w:val="16"/>
                <w:color w:val="auto"/>
              </w:rPr>
              <w:t>Effect of foreign exchange on cash and cash equivalents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(1,958)</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7"/>
                <w:szCs w:val="17"/>
                <w:color w:val="auto"/>
              </w:rPr>
            </w:pPr>
          </w:p>
        </w:tc>
      </w:tr>
      <w:tr>
        <w:trPr>
          <w:trHeight w:val="196"/>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7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(72,557)</w:t>
            </w: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127,820</w:t>
            </w: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488,466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360,646</w:t>
            </w:r>
          </w:p>
        </w:tc>
        <w:tc>
          <w:tcPr>
            <w:tcW w:w="100" w:type="dxa"/>
            <w:vAlign w:val="bottom"/>
          </w:tcPr>
          <w:p>
            <w:pPr>
              <w:spacing w:after="0"/>
              <w:rPr>
                <w:sz w:val="17"/>
                <w:szCs w:val="17"/>
                <w:color w:val="auto"/>
              </w:rPr>
            </w:pPr>
          </w:p>
        </w:tc>
      </w:tr>
      <w:tr>
        <w:trPr>
          <w:trHeight w:val="23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206,632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415,909</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488,466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Tilray Brands, Inc., and its wholly owned subsidiaries (collectively “Tilray”, the “Company”, “we”, or “us”) is a leading global cannabis-lifestyle and consumer packaged goods company headquartered in Leamington, Ontario, Canada, with operations in Canada, the United States, Europe, Australia, New Zealand and Latin America.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production platform supports over 20 brands in over 20 countries, including comprehensive cannabis offerings, hemp-based foods, and alcoholic beverages.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30, 2021, Tilray acquired all of the issued and outstanding common shares of Aphria Inc. (“Aphria”), an international organization focused on building a global cannabis-lifestyle consumer packaged goods company in addition to its businesses in the marketing and manufacturing beverage alcohol products in the United States, and in the distribution of (non-Cannabis) pharmaceutical products in Germany and Argentina, pursuant to a plan of arrangement (the “Arrangement”) under the Business Corporations Act (Ontario).</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Basis of preparation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policies applied in these consolidated financial statements are prepared in accordance with accounting principles generally accepted in the United States of America (“GAAP”) and pursuant to the rules and regulations of the United States Securities and Exchange Commission (“SEC”).</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determination that Aphria was the accounting acquirer in the Arrangement, Aphria’s historical financial statements became the historical financial statements of the Company. The results of Tilray's operations and cash flows are included in the Company’s consolidated statement of loss and comprehensive loss and cash flows for periods beginning after April 30, 2021. In conjunction with the reverse acquisition, the Company elected to adopt Aphria’s fiscal year end of June 1 to May 31. Accordingly, comparisons between the Company's results for the years ended May 31, 2023 and May 31, 2022 with prior periods may not be meaningful, as the reported results do not include the operations of legacy-Tilray and its subsidiaries on and prior to April 30, 2021.</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consolidated financial statements are presented in U.S. dollars (“USD”), which is the Company’s reporting currency; however, the functional currency of the entities in these financial statements are their respective local currencies, including Canadian dollar, USD, Euro, Australian dollar, and Great Britain pound.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transactions are remeasured to the respective functional currencies of the Company’s entities at the exchange rates in effect on the date of the transactions. Monetary assets and liabilities denominated in foreign currencies are remeasured to the functional currency at the foreign exchange rate applicable at the statement of financial position date. Non-monetary items carried at historical cost denominated in foreign currencies are remeasured to the functional currency at the date of the transactions. Non-monetary items carried at fair value denominated in foreign currencies are remeasured to the functional currency at the date when the fair value was determined. Realized and unrealized exchange gains and losses are recognized through profit and loss.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consolidation, the assets and liabilities of foreign operations reported in their functional currencies are translated into USD, the Group’s presentation currency, at period-end exchange rates. Income and expenses, and cash flows of foreign operations are translated into USD using average exchange rates. Exchange differences resulting from translating foreign operations are recognized in other comprehensive income (loss) and accumulated in equity.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of the Company, include the accounts of the company, its wholly-owned subsidiaries and majority owned subsidiaries see Note 21 (Non-controlling interests). All significant intercompany transactions are eliminated.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accordance with ASC 323,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 </w:t>
      </w:r>
      <w:r>
        <w:rPr>
          <w:rFonts w:ascii="Arial" w:cs="Arial" w:eastAsia="Arial" w:hAnsi="Arial"/>
          <w:sz w:val="17"/>
          <w:szCs w:val="17"/>
          <w:i w:val="1"/>
          <w:iCs w:val="1"/>
          <w:color w:val="auto"/>
        </w:rPr>
        <w:t>Equity Method and Joint Ventures,</w:t>
      </w:r>
      <w:r>
        <w:rPr>
          <w:rFonts w:ascii="Arial" w:cs="Arial" w:eastAsia="Arial" w:hAnsi="Arial"/>
          <w:sz w:val="17"/>
          <w:szCs w:val="17"/>
          <w:color w:val="auto"/>
        </w:rPr>
        <w:t xml:space="preserve"> 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recognized initially at cost, which includes transaction costs. After initial recognition, the consolidated financial statements include the Company’s share of undistributed earnings or losses, and impairment, if any, until the date on which significant influence ceases.</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the Company’s share of losses in an equity investment equals or exceeds its interest in the entity, including any net advances, the group does not recognize further losses, unless it has guaranteed obligations of the investee or is otherwise committed to provide further financial support for the investee.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Unrealized gains on transactions between the Company and its equity-method investees are eliminated only to the extent of the Company’s interest in these entities. Unrealized losses are also eliminated, except to the extent that the underlying asset is impaired.</w:t>
      </w: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used by the Company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and cash equivalents are comprised of cash and highly liquid investments that are both readily convertible into known amounts of cash with original maturities of three months or less. Cash and cash equivalents include amounts held in United States dollar, Canadian dollar, Euro, Australian dollar, Great Britain pound, Colombian peso, Argentine peso, and corporate bonds, commercial paper, treasury bills and money market funds.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left="160" w:firstLine="486"/>
        <w:spacing w:after="0" w:line="311" w:lineRule="auto"/>
        <w:rPr>
          <w:sz w:val="20"/>
          <w:szCs w:val="20"/>
          <w:color w:val="auto"/>
        </w:rPr>
      </w:pPr>
      <w:r>
        <w:rPr>
          <w:rFonts w:ascii="Arial" w:cs="Arial" w:eastAsia="Arial" w:hAnsi="Arial"/>
          <w:sz w:val="16"/>
          <w:szCs w:val="16"/>
          <w:color w:val="auto"/>
        </w:rPr>
        <w:t>The Company classifies term deposits and other investments that have maturities of greater than three months but less than one year as marketable securities. The fair value of marketable securities is based on quoted market prices for publicly traded securities. Marketable securities are carried at fair value with changes in fair value recorded in the statement of net loss and comprehensive loss, within the line, “Non-operating income (expense)”.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its accounts receivable portfolio as of the reporting dates based on the projection of expected credit losses. The Company applies the aging method to estimate the allowance for expected credit losses. The aging method is applied to accounts receivables at the business unit level to reflect shared risk characteristics, such as receivable type, customer type and geographical location. The aging method assigns accounts receivables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the Company’s analysis of expected credit losses, it may analyze contracts on an individual basis in situations where such accounts receivables exhibit unique risk characteristics and are not expected to experience similar losses to the rest of their class.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Inventory is valued at the lower of cost and net realizable value, determined using weighted average cost. All direct and indirect costs related to inventory are capitalized as they are incurred, and they are subsequently recorded in cost of goods sold on the statements of loss and comprehensive loss at the time inventory is sold.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 assets are recorded at cost and amortized on a straight-line basis over the estimated useful lives or lease term, whichever is shorter. The Company’s capital assets are reviewed when impairment indicators are present by analyzing underlying cash flow projections. Maintenance and repairs are charged to expenses as incurred. The Company uses the following ranges of asset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type</w:t>
            </w:r>
          </w:p>
        </w:tc>
        <w:tc>
          <w:tcPr>
            <w:tcW w:w="22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7"/>
              </w:rPr>
              <w:t>Depreciation method</w:t>
            </w:r>
          </w:p>
        </w:tc>
        <w:tc>
          <w:tcPr>
            <w:tcW w:w="6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Depreciation term (estimated useful life)</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Production facility</w:t>
            </w:r>
          </w:p>
        </w:tc>
        <w:tc>
          <w:tcPr>
            <w:tcW w:w="2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Straight-line</w:t>
            </w: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 – 30 years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Equipment</w:t>
            </w:r>
          </w:p>
        </w:tc>
        <w:tc>
          <w:tcPr>
            <w:tcW w:w="2280" w:type="dxa"/>
            <w:vAlign w:val="bottom"/>
          </w:tcPr>
          <w:p>
            <w:pPr>
              <w:ind w:left="520"/>
              <w:spacing w:after="0"/>
              <w:rPr>
                <w:sz w:val="20"/>
                <w:szCs w:val="20"/>
                <w:color w:val="auto"/>
              </w:rPr>
            </w:pPr>
            <w:r>
              <w:rPr>
                <w:rFonts w:ascii="Arial" w:cs="Arial" w:eastAsia="Arial" w:hAnsi="Arial"/>
                <w:sz w:val="18"/>
                <w:szCs w:val="18"/>
                <w:color w:val="auto"/>
              </w:rPr>
              <w:t>Straight-line</w:t>
            </w:r>
          </w:p>
        </w:tc>
        <w:tc>
          <w:tcPr>
            <w:tcW w:w="6120" w:type="dxa"/>
            <w:vAlign w:val="bottom"/>
          </w:tcPr>
          <w:p>
            <w:pPr>
              <w:ind w:left="160"/>
              <w:spacing w:after="0"/>
              <w:rPr>
                <w:sz w:val="20"/>
                <w:szCs w:val="20"/>
                <w:color w:val="auto"/>
              </w:rPr>
            </w:pPr>
            <w:r>
              <w:rPr>
                <w:rFonts w:ascii="Arial" w:cs="Arial" w:eastAsia="Arial" w:hAnsi="Arial"/>
                <w:sz w:val="18"/>
                <w:szCs w:val="18"/>
                <w:color w:val="auto"/>
              </w:rPr>
              <w:t>3 – 25 years</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Straight-line</w:t>
            </w: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Lesser of estimated useful life or lease term</w:t>
            </w:r>
          </w:p>
        </w:tc>
      </w:tr>
      <w:tr>
        <w:trPr>
          <w:trHeight w:val="216"/>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Finance lease right-of-use assets</w:t>
            </w:r>
          </w:p>
        </w:tc>
        <w:tc>
          <w:tcPr>
            <w:tcW w:w="2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Straight-line</w:t>
            </w:r>
          </w:p>
        </w:tc>
        <w:tc>
          <w:tcPr>
            <w:tcW w:w="6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Lesser of the lease term and the useful life of the leased asset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are recorded at cost and amortized on a straight-line basis over the estimated useful lives. The Company uses the following ranges of asset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type</w:t>
            </w:r>
          </w:p>
        </w:tc>
        <w:tc>
          <w:tcPr>
            <w:tcW w:w="68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Amortization term</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&amp; distribution channel</w:t>
            </w:r>
          </w:p>
        </w:tc>
        <w:tc>
          <w:tcPr>
            <w:tcW w:w="6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14 – 16 years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Licences, permits &amp; applications</w:t>
            </w:r>
          </w:p>
        </w:tc>
        <w:tc>
          <w:tcPr>
            <w:tcW w:w="6800" w:type="dxa"/>
            <w:vAlign w:val="bottom"/>
          </w:tcPr>
          <w:p>
            <w:pPr>
              <w:ind w:left="1280"/>
              <w:spacing w:after="0"/>
              <w:rPr>
                <w:sz w:val="20"/>
                <w:szCs w:val="20"/>
                <w:color w:val="auto"/>
              </w:rPr>
            </w:pPr>
            <w:r>
              <w:rPr>
                <w:rFonts w:ascii="Arial" w:cs="Arial" w:eastAsia="Arial" w:hAnsi="Arial"/>
                <w:sz w:val="18"/>
                <w:szCs w:val="18"/>
                <w:color w:val="auto"/>
              </w:rPr>
              <w:t>90 months – indefinite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trademarks &amp; brands</w:t>
            </w:r>
          </w:p>
        </w:tc>
        <w:tc>
          <w:tcPr>
            <w:tcW w:w="6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15 months – 25 years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Non-compete agreements</w:t>
            </w:r>
          </w:p>
        </w:tc>
        <w:tc>
          <w:tcPr>
            <w:tcW w:w="6800" w:type="dxa"/>
            <w:vAlign w:val="bottom"/>
          </w:tcPr>
          <w:p>
            <w:pPr>
              <w:ind w:left="1280"/>
              <w:spacing w:after="0"/>
              <w:rPr>
                <w:sz w:val="20"/>
                <w:szCs w:val="20"/>
                <w:color w:val="auto"/>
              </w:rPr>
            </w:pPr>
            <w:r>
              <w:rPr>
                <w:rFonts w:ascii="Arial" w:cs="Arial" w:eastAsia="Arial" w:hAnsi="Arial"/>
                <w:sz w:val="18"/>
                <w:szCs w:val="18"/>
                <w:color w:val="auto"/>
              </w:rPr>
              <w:t>Over term of non-compete</w:t>
            </w:r>
          </w:p>
        </w:tc>
      </w:tr>
      <w:tr>
        <w:trPr>
          <w:trHeight w:val="216"/>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Know how</w:t>
            </w:r>
          </w:p>
        </w:tc>
        <w:tc>
          <w:tcPr>
            <w:tcW w:w="68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5 years</w:t>
            </w:r>
          </w:p>
        </w:tc>
      </w:tr>
      <w:tr>
        <w:trPr>
          <w:trHeight w:val="425"/>
        </w:trPr>
        <w:tc>
          <w:tcPr>
            <w:tcW w:w="4440" w:type="dxa"/>
            <w:vAlign w:val="bottom"/>
          </w:tcPr>
          <w:p>
            <w:pPr>
              <w:spacing w:after="0"/>
              <w:rPr>
                <w:sz w:val="24"/>
                <w:szCs w:val="24"/>
                <w:color w:val="auto"/>
              </w:rPr>
            </w:pPr>
          </w:p>
        </w:tc>
        <w:tc>
          <w:tcPr>
            <w:tcW w:w="6800" w:type="dxa"/>
            <w:vAlign w:val="bottom"/>
          </w:tcPr>
          <w:p>
            <w:pPr>
              <w:ind w:left="1100"/>
              <w:spacing w:after="0"/>
              <w:rPr>
                <w:sz w:val="20"/>
                <w:szCs w:val="20"/>
                <w:color w:val="auto"/>
              </w:rPr>
            </w:pPr>
            <w:r>
              <w:rPr>
                <w:rFonts w:ascii="Arial" w:cs="Arial" w:eastAsia="Arial" w:hAnsi="Arial"/>
                <w:sz w:val="18"/>
                <w:szCs w:val="18"/>
                <w:color w:val="auto"/>
              </w:rPr>
              <w:t>75</w:t>
            </w:r>
          </w:p>
        </w:tc>
      </w:tr>
      <w:tr>
        <w:trPr>
          <w:trHeight w:val="115"/>
        </w:trPr>
        <w:tc>
          <w:tcPr>
            <w:tcW w:w="444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reviews long-lived assets, including capital assets and definite life intangible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may be determined using a market approach or income approach.</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accounts for business combinations using the acquisition method in accordance with Accounting Standards Codification,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which requires recognition of assets acquired and liabilities assumed, including contingent assets and liabilities,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on the date of acquisition.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Contingent consideration is measured at its acquisition-date fair value and included as part of the consideration transferred in a business combination. Contingent consideration that is classified as a liability is remeasured at subsequent reporting dates, with the corresponding gain or loss recognized in profit or loss.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Non-controlling interests in the acquiree are measured at fair value on acquisition date. Acquisition-related costs are recognized as expenses in the periods in which the costs are incurred and the services are received (except for the costs to issue debt or equity securities which are recognized according to specific requirements).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represents the excess of the consideration transferred for the acquisition of subsidiaries over the net of the acquisition-date amounts of the identifiable assets acquired and the liabilities assumed. Following initial recognition, goodwill is measured at cost less any accumulated impairment losses.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of goodwill and indefinite-lived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Goodwill is allocated to the reporting unit in which the business that created the goodwill resides. A reporting unit is an operating segment, or a business unit one level below that operating segment, for which discrete financial information is prepared and regularly reviewed by segment management. We operate in four operating segments which are our reporting units, and goodwill is allocated at the operating segment level. The Company reviews goodwill and indefinite-lived intangible assets annually for impairment in the fourth quarter, or more frequently, if events or circumstances indicate that the carrying amount of an asset may not be recoverable.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 With the exception of certain finance leases, an implicit rate of return is not readily determinable for the Company's leases. For these leases, an incremental borrowing rate is used in determining the present value of lease payments and is calculated based on information available at the lease commencement date.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8" w:name="page79"/>
    <w:bookmarkEnd w:id="78"/>
    <w:p>
      <w:pPr>
        <w:jc w:val="both"/>
        <w:ind w:firstLine="648"/>
        <w:spacing w:after="0" w:line="275" w:lineRule="auto"/>
        <w:rPr>
          <w:sz w:val="20"/>
          <w:szCs w:val="20"/>
          <w:color w:val="auto"/>
        </w:rPr>
      </w:pPr>
      <w:r>
        <w:rPr>
          <w:rFonts w:ascii="Arial" w:cs="Arial" w:eastAsia="Arial" w:hAnsi="Arial"/>
          <w:sz w:val="17"/>
          <w:szCs w:val="17"/>
          <w:color w:val="auto"/>
        </w:rPr>
        <w:t>The Company’s lease terms may include options to extend or terminate the lease when it is reasonably certain that the option will be exercised. Leases with an initial term of 12 months or less are not recognized on the Company's consolidated statements of financial position. Operating lease assets are presented as right-of-use assets, and corresponding operating lease liabilities are presented within lease liabilities, on the Company’s consolidated statements of financial position. Finance lease assets are included in capital assets, and corresponding finance lease liabilities are included within current lease liabilities, on the Company’s consolidated statements of financial position.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 receivable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Convertible notes receivables include various investments in which the Company has the right, or potential right see Note 11 (Convertible notes receivable) to convert the instrument into common stock shares of the investee are classified as available-for-sale ("AFS")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The Company assesses its convertible notes receivables classified as AFS for impairment at each measurement date. Convertible notes receivables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loss and comprehensive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investments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Long-term investments include investments in equity securities of entities over which the Company does not have a controlling financial interest, joint control or significant influence and are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is less than carrying values. Changes in value are recorded in non-operating income (loss).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Investments in entities over which the Company does not have a controlling financial interest but has significant influence, are accounted for using the equity method, with the Company’s share of losses reported in loss from equity method investments on the statements of loss and comprehensive loss. Equity method investments are recorded at cost, plus the Company’s share of undistributed earnings or losses, and impairment, if any, within interest in equity investees on the statements of financial position.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debentures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accounts for its convertible debentures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whereby the convertible instrument is initially accounted for as a single unit of account, unless it contains a derivative that must be bifurcated from the host contract in accordance with ASC 815-15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 </w:t>
      </w:r>
      <w:r>
        <w:rPr>
          <w:rFonts w:ascii="Arial" w:cs="Arial" w:eastAsia="Arial" w:hAnsi="Arial"/>
          <w:sz w:val="16"/>
          <w:szCs w:val="16"/>
          <w:i w:val="1"/>
          <w:iCs w:val="1"/>
          <w:color w:val="auto"/>
        </w:rPr>
        <w:t>Embedded Derivatives</w:t>
      </w:r>
      <w:r>
        <w:rPr>
          <w:rFonts w:ascii="Arial" w:cs="Arial" w:eastAsia="Arial" w:hAnsi="Arial"/>
          <w:sz w:val="16"/>
          <w:szCs w:val="16"/>
          <w:color w:val="auto"/>
        </w:rPr>
        <w:t xml:space="preserve"> or the substantial premium model in ASC 470-20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and Other Options </w:t>
      </w:r>
      <w:r>
        <w:rPr>
          <w:rFonts w:ascii="Arial" w:cs="Arial" w:eastAsia="Arial" w:hAnsi="Arial"/>
          <w:sz w:val="16"/>
          <w:szCs w:val="16"/>
          <w:color w:val="auto"/>
        </w:rPr>
        <w:t>applies. Where the substantial premium model applies, the premium is recorded in additional paid-in capital. The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discount is amortized over the period during which the convertible notes are expected to be outstanding as additional non-cash interest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9" w:name="page80"/>
    <w:bookmarkEnd w:id="79"/>
    <w:p>
      <w:pPr>
        <w:jc w:val="both"/>
        <w:ind w:firstLine="648"/>
        <w:spacing w:after="0" w:line="255" w:lineRule="auto"/>
        <w:rPr>
          <w:sz w:val="20"/>
          <w:szCs w:val="20"/>
          <w:color w:val="auto"/>
        </w:rPr>
      </w:pPr>
      <w:r>
        <w:rPr>
          <w:rFonts w:ascii="Arial" w:cs="Arial" w:eastAsia="Arial" w:hAnsi="Arial"/>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For convertible debentures with an embedded conversion feature that did not meet the equity scope exception from derivative accounting pursuant to ASC 815-15, the Company elected the fair value option under ASC 825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Warrants are accounted for in accordance with applicable accounting guidance provided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 </w:t>
      </w:r>
      <w:r>
        <w:rPr>
          <w:rFonts w:ascii="Arial" w:cs="Arial" w:eastAsia="Arial" w:hAnsi="Arial"/>
          <w:sz w:val="18"/>
          <w:szCs w:val="18"/>
          <w:i w:val="1"/>
          <w:iCs w:val="1"/>
          <w:color w:val="auto"/>
        </w:rPr>
        <w:t>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Entity's Own Equity</w:t>
      </w:r>
      <w:r>
        <w:rPr>
          <w:rFonts w:ascii="Arial" w:cs="Arial" w:eastAsia="Arial" w:hAnsi="Arial"/>
          <w:sz w:val="18"/>
          <w:szCs w:val="18"/>
          <w:color w:val="auto"/>
        </w:rPr>
        <w:t>, as either liabilities or as equity instruments depending on the specific terms of the warrant agreement. Warrants classified as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at fair value and are remeasured at each reporting date until settlement. Changes in fair value is recognized as a component of change in fair value of warrant liability in the statements of loss and comprehensive loss. Transaction costs allocated to warrants that are presented as a liability are immediately expensed in the statements of loss and comprehensive loss. Warrants classified as equity instruments are initially recognized at fair value and are not subsequently remeasured.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carrying values of accounts receivable, prepaids and other current assets, bank indebtedness and accounts payable and accrued liabilities approximate their fair values due to their short periods to maturity. The Company calculates the estimated fair value of financial instruments, including convertible notes receivable, long-term investments, warrant liability, contingent consideration, and convertible debentures, using quoted market prices when available. When quoted market prices are not available, fair value is determined based on valuation techniques using the best information available and may include quoted market prices, market comparables, and discounted cash flow projections.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taxes are recognized in the consolidated statements of loss and comprehensive loss and are comprised of current and deferred taxes. Current tax is recognized in connection with income for tax purposes, unrealized tax benefits and the recovery of tax paid in a prior period and measured using enacted tax rates and laws applicable to the taxation period during which the income for tax purposes arose. Deferred tax assets and liabilities are determined based on the differences between the financial reporting and the tax basis of assets and liabilities and are measured using the enacted tax rates and laws that will be in effect when the differences are expected to reverse. Management makes an assessment of the likelihood that a deferred tax asset will be realized, and a valuation allowance is provided to the extent that it is more likely than not that all or a portion of a deferred tax asset will not be realized.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 authority. An uncertain income tax position will not be recognized if it has less than a 50% likelihood of being sustained. A change in the recognition or measurement of an unrealized tax benefit is reflected in the period during which the change occurs.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0" w:name="page81"/>
    <w:bookmarkEnd w:id="80"/>
    <w:p>
      <w:pPr>
        <w:ind w:left="3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 is recognized when the control of the promised goods, through performance obligation, is transferred to the customer in an amount that reflects the consideration we expect to be entitled to in exchange for the performance obligations or as advisory services are provided. Payments received for the goods or services in advance of performance are recognized as a contract liability.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transaction price for the sale of goods, the Company considers the effects of variable consideration and the existence of significant financing components, if any.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represents costs directly related to manufacturing and distribution of the Company’s products. Primary costs include raw materials, packaging, direct labor, overhead, shipping and handling, the amortization of manufacturing equipment and production facilities and tariffs. Manufacturing overhead and related expenses include salaries, wages, employee benefits, utilities, maintenance and property taxes. Cost of goods sold also includes inventory valuation adjustments.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are comprised primarily of (i) personnel related costs such as salaries, benefits, annual employee bonus expense and stock-based ‘compensation costs; (ii) legal, accounting, consulting and other professional fees; and (iii) corporate insurance and other facilities costs associated with our corporate and administrative locations.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expenses are comprised of direct selling costs which primarily consist of (i) commissions paid to our third-party workforce, (ii) patient acquisition and maintenance fees, (iii) Health Canada’s cannabis fees and (iv) freight.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and promotion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and promotion expenses are comprised primarily of marketing and advertising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Research and development costs are expensed as incurred. Research and development are comprised primarily of costs for clinical study costs, contracted research, consulting services, materials, supplies and other expenses incurred to sustain our overall research and development programs.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an omnibus plan which includes issuances of stock options, restricted stock units (“RSUs”) and stock appreciation rights (“SARs”). The Company estimates the fair value of stock options on the date of grant using the Black-Scholes option pricing model. The fair value of RSUs is based on the share price as at date of grant and no SARs were issued to date. The share-based compensation expense is based on the fair value of the stock-based awards at the grant date and the expense is recognized over the related service period following a straight-line vesting expense schedule. The Company estimates forfeitures at the time of grant and revises these estimates in subsequent periods if actual forfeitures differ from those estimates. Any revisions are recognized in the consolidated statements of loss and comprehensive loss such that the cumulative expense reflects the revised estimate.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Basic earnings (loss) per share is computed by dividing reported net income (loss) by the weighted average number of common shares outstanding during the year. Diluted earnings (loss) per share is computed by dividing reported net income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17 (Convertible debentures payable) are excluded from the calculation of basic and diluted earnings per share because the borrower of the shares is required under the share lending.</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computing diluted earnings (loss) per share, common share equivalents are not considered in periods in which a net loss is reported, as the inclusion of the common share equivalents would be anti-dilutive.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accounting estimates and judgments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 areas that require significant judgement and estimates are as follows: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Long-term investments and convertible notes receivable </w:t>
      </w:r>
      <w:r>
        <w:rPr>
          <w:rFonts w:ascii="Arial" w:cs="Arial" w:eastAsia="Arial" w:hAnsi="Arial"/>
          <w:sz w:val="18"/>
          <w:szCs w:val="18"/>
          <w:color w:val="auto"/>
        </w:rPr>
        <w:t>– The determination of fair value of the Company’s long-term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receivable at other than initial cost is subject to certain limitations. Financial information for private companies in which the Company has investments may not be available and, even if available, that information may be limited and/or unreliable.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Use of the valuation approach described below may involve uncertainties and determinations based on the Company’s judgment and any value estimated from these techniques may not be realized or realizable.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Company-specific information is considered when determining whether the fair value of a long-term investment or convertible notes receivable should be adjusted upward or downward at the end of each reporting period. In addition to company-specific information, the Company will consider trends in general market conditions and the share performance of comparable publicly traded companies when valuing long-term investments and convertible notes receivable.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fair value of long-term investments and convertible notes receivable may need to be adjusted if:</w:t>
      </w:r>
    </w:p>
    <w:p>
      <w:pPr>
        <w:spacing w:after="0" w:line="225" w:lineRule="exact"/>
        <w:rPr>
          <w:sz w:val="20"/>
          <w:szCs w:val="20"/>
          <w:color w:val="auto"/>
        </w:rPr>
      </w:pPr>
    </w:p>
    <w:p>
      <w:pPr>
        <w:ind w:left="98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has been a significant subsequent equity financing provided by outside investors at a valuation different than the current value of the investee company, in which case the fair value of the investment is set to the value at which that financing took place;</w:t>
      </w:r>
    </w:p>
    <w:p>
      <w:pPr>
        <w:spacing w:after="0" w:line="14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have been significant corporate, political, or operating events affecting the investee company that, in management’s opinion, have a material impact on the investee company’s prospects and therefore its fair value. In these circumstances, the adjustment to the fair value of the investment will be based on management’s judgment and any value estimated may not be realized or realizable;</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investee company is placed into receivership or bankruptcy;</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financial information received from the investee company, it is apparent to the Company that the investee company is unlikely to be able to continue as a going concern;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Important positive or negative management changes by the investee company that the Company’s management believes will have a positive or negative impact on the investee company’s ability to achieve its objectives and build value for shareholders.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Adjustment to the fair value of a long-term investment and convertible notes receivable will be based upon management’s judgment and any value estimated may not be realized or realizable. The resulting values for non-publicly traded investments may differ from values that would be realized if a ready market existed.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Estimated useful lives, impairment considerations and amortization of capital and intangible assets </w:t>
      </w:r>
      <w:r>
        <w:rPr>
          <w:rFonts w:ascii="Arial" w:cs="Arial" w:eastAsia="Arial" w:hAnsi="Arial"/>
          <w:sz w:val="18"/>
          <w:szCs w:val="18"/>
          <w:color w:val="auto"/>
        </w:rPr>
        <w:t>– Amortization of capital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is dependent upon estimates of useful lives based on management’s judgment.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Goodwill and indefinite-lived intangible asset impairment testing require management to make estimates in the impairment testing model. On at least an annual basis, the Company tests whether goodwill and indefinite-lived intangible assets are impaired. Impairment of definite long-lived assets is influenced by judgment in defining a reporting unit and determining the indicators of impairment, and estimates used to measure impairment losses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reporting unit’s fair value is determined using discounted future cash flow models, which incorporate assumptions regarding future events, specifically future cash flows, growth rates and discount rates.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fair value of stock-based compensation expenses are estimated using the Black-Scholes option pricing model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rely on a number of assumptions including the fair value of common shares on the grant date, risk-free rate, volatility rate, annual dividend yield, the expected term, and the estimated rate of forfeiture of options granted. Volatility is estimated by using the historical volatility of the Company.</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Judgement is used in determining a) whether an acquisition is a business combination or an asset acquisition. We use</w:t>
      </w:r>
      <w:r>
        <w:rPr>
          <w:rFonts w:ascii="Arial" w:cs="Arial" w:eastAsia="Arial" w:hAnsi="Arial"/>
          <w:sz w:val="17"/>
          <w:szCs w:val="17"/>
          <w:i w:val="1"/>
          <w:iCs w:val="1"/>
          <w:color w:val="auto"/>
        </w:rPr>
        <w:t xml:space="preserve"> </w:t>
      </w:r>
      <w:r>
        <w:rPr>
          <w:rFonts w:ascii="Arial" w:cs="Arial" w:eastAsia="Arial" w:hAnsi="Arial"/>
          <w:sz w:val="17"/>
          <w:szCs w:val="17"/>
          <w:color w:val="auto"/>
        </w:rPr>
        <w:t>judgement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Convertible debentures </w:t>
      </w:r>
      <w:r>
        <w:rPr>
          <w:rFonts w:ascii="Arial" w:cs="Arial" w:eastAsia="Arial" w:hAnsi="Arial"/>
          <w:sz w:val="18"/>
          <w:szCs w:val="18"/>
          <w:color w:val="auto"/>
        </w:rPr>
        <w:t>– The fair value of Convertible Debentures where the Company had elected the fair value option are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option pricing model. Assumptions and estimates are made in determining an appropriate conversion price, volatility, dividend yield, and the fair value of common stock. There is judgement in assessing what portion of the gain or loss, if any, relates to the change in the instrument-specific credit risk.</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Warrant liability </w:t>
      </w:r>
      <w:r>
        <w:rPr>
          <w:rFonts w:ascii="Arial" w:cs="Arial" w:eastAsia="Arial" w:hAnsi="Arial"/>
          <w:sz w:val="17"/>
          <w:szCs w:val="17"/>
          <w:color w:val="auto"/>
        </w:rPr>
        <w:t>– The fair value of the warrant liability is measured using a Black Scholes pricing model. Assumptions and estimates are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(Subtopic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(“ASU 2021-08”), which is intended to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by addressing diversity in practice and inconsistency. ASU 2021-08 is effective for the Company beginning June 1, 2023. This update will be applied prospectively on or after the effective date of the amendments. The Company is currently evaluating the effect of adopting this ASU.</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225" w:lineRule="exact"/>
        <w:rPr>
          <w:sz w:val="20"/>
          <w:szCs w:val="20"/>
          <w:color w:val="auto"/>
        </w:rPr>
      </w:pPr>
    </w:p>
    <w:p>
      <w:pPr>
        <w:jc w:val="both"/>
        <w:ind w:left="160" w:firstLine="450"/>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s Own Equity</w:t>
      </w:r>
      <w:r>
        <w:rPr>
          <w:rFonts w:ascii="Arial" w:cs="Arial" w:eastAsia="Arial" w:hAnsi="Arial"/>
          <w:sz w:val="18"/>
          <w:szCs w:val="18"/>
          <w:color w:val="auto"/>
        </w:rPr>
        <w:t xml:space="preserve"> (“ASU 2020-06”), which amends and simplifies existing guidance in an effort to reduce the complexity of accounting for convertible instruments and to provide financial statement users with more meaningful information. The Company adopted ASU 2020-06 beginning June 1, 2022 and the adoption did not have material retrospective impacts on our consolidated financial statements</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left="160" w:firstLine="450"/>
        <w:spacing w:after="0" w:line="259"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Modifications and Extinguishments (Subtopic 470-50), 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718), and Derivatives and Hedging</w:t>
      </w:r>
      <w:r>
        <w:rPr>
          <w:rFonts w:ascii="Arial" w:cs="Arial" w:eastAsia="Arial" w:hAnsi="Arial"/>
          <w:sz w:val="18"/>
          <w:szCs w:val="18"/>
          <w:color w:val="auto"/>
        </w:rPr>
        <w:t>—</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(Subtopic 815-40) </w:t>
      </w:r>
      <w:r>
        <w:rPr>
          <w:rFonts w:ascii="Arial" w:cs="Arial" w:eastAsia="Arial" w:hAnsi="Arial"/>
          <w:sz w:val="18"/>
          <w:szCs w:val="18"/>
          <w:color w:val="auto"/>
        </w:rPr>
        <w:t>(“ASU 2021-04”), which amends existing guidance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(EPS) in accordance with Topic 260. The Company adopted the ASU beginning June 1, 2022 and the adoption of ASU 2021-04 did not have an impact on our consolidated financial statements.</w:t>
      </w:r>
    </w:p>
    <w:p>
      <w:pPr>
        <w:spacing w:after="0" w:line="187" w:lineRule="exact"/>
        <w:rPr>
          <w:sz w:val="20"/>
          <w:szCs w:val="20"/>
          <w:color w:val="auto"/>
        </w:rPr>
      </w:pPr>
    </w:p>
    <w:p>
      <w:pPr>
        <w:jc w:val="both"/>
        <w:ind w:left="160" w:firstLine="450"/>
        <w:spacing w:after="0" w:line="279"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Assistance, </w:t>
      </w:r>
      <w:r>
        <w:rPr>
          <w:rFonts w:ascii="Arial" w:cs="Arial" w:eastAsia="Arial" w:hAnsi="Arial"/>
          <w:sz w:val="17"/>
          <w:szCs w:val="17"/>
          <w:color w:val="auto"/>
        </w:rPr>
        <w:t>which is intended to increase the transparency of government assistance including the disclosure of (1) the types of assistance, (2) an entity’s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the assistance, and (3) the effect of the assistance on an entity’s financial statements. The Company adopted the ASU beginning June 1, 2022 and the adoption of ASU 2021-04 did not have an impact on the disclosure in our consolidated financial statements.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4.  Inventory</w:t>
            </w:r>
          </w:p>
        </w:tc>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00" w:type="dxa"/>
            <w:vAlign w:val="bottom"/>
          </w:tcPr>
          <w:p>
            <w:pPr>
              <w:ind w:left="600"/>
              <w:spacing w:after="0"/>
              <w:rPr>
                <w:sz w:val="20"/>
                <w:szCs w:val="20"/>
                <w:color w:val="auto"/>
              </w:rPr>
            </w:pPr>
            <w:r>
              <w:rPr>
                <w:rFonts w:ascii="Arial" w:cs="Arial" w:eastAsia="Arial" w:hAnsi="Arial"/>
                <w:sz w:val="18"/>
                <w:szCs w:val="18"/>
                <w:color w:val="auto"/>
              </w:rPr>
              <w:t>Inventory is comprised of:</w:t>
            </w: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Plants</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Dried cannabis</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Cannabis trim</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Cannabis derivatives</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Cannabis vapes</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Packaging and other inventory items</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Wellness inventory</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Beverage alcohol inventory</w:t>
            </w: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inventory</w:t>
            </w:r>
          </w:p>
        </w:tc>
        <w:tc>
          <w:tcPr>
            <w:tcW w:w="3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200,551</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80" w:type="dxa"/>
            <w:vAlign w:val="bottom"/>
            <w:vMerge w:val="restart"/>
          </w:tcPr>
          <w:p>
            <w:pPr>
              <w:jc w:val="right"/>
              <w:ind w:right="2170"/>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84" w:name="page85"/>
    <w:bookmarkEnd w:id="84"/>
    <w:p>
      <w:pPr>
        <w:jc w:val="both"/>
        <w:ind w:firstLine="648"/>
        <w:spacing w:after="0" w:line="272" w:lineRule="auto"/>
        <w:rPr>
          <w:sz w:val="20"/>
          <w:szCs w:val="20"/>
          <w:color w:val="auto"/>
        </w:rPr>
      </w:pPr>
      <w:r>
        <w:rPr>
          <w:rFonts w:ascii="Arial" w:cs="Arial" w:eastAsia="Arial" w:hAnsi="Arial"/>
          <w:sz w:val="17"/>
          <w:szCs w:val="17"/>
          <w:color w:val="auto"/>
        </w:rPr>
        <w:t>Inventory is written down for any obsolescence, spoilage and excess inventory or when the net realizable value of inventory is less than the carrying value. During the year ended May 31, 2023, the Company recorded charges for inventory and inventory-related write downs as a component of cost of sales. Cannabis inventory was written down by $55,000 for the year ended May 31, 2023, and by $59,500 for the year ended May 31, 2022. This charge was driven by the decision of management to repurpose a portion of our existing supply of dried cannabis inventory. There were no write downs for Distribution inventory for the year ended May 31, 2023, however in the year ended May 31, 2022 Distribution inventory was written down by $7,500. Included in cost of goods sold for the year ended May 31, 2023 is $4,482 fair value step up adjustment under purchase accounting (PPA) for beverage alcohol inventory sold in the year and $2,214 for the year ended May 31,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certain entities under common control and joint ventures as detailed below.</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RIKI Ventures, LLC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entered into a strategic partnership on December 12, 2022, with RIKI Ventures, LLC in which the Company has a joint venture arrangement with a 50% ownership and voting interest. This venture is held by our craft beverage company Breckenridge. During the year there were no transactions with this entity.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Docklight LLC (</w:t>
      </w:r>
      <w:r>
        <w:rPr>
          <w:rFonts w:ascii="Arial" w:cs="Arial" w:eastAsia="Arial" w:hAnsi="Arial"/>
          <w:sz w:val="18"/>
          <w:szCs w:val="18"/>
          <w:color w:val="auto"/>
        </w:rPr>
        <w:t>“</w:t>
      </w:r>
      <w:r>
        <w:rPr>
          <w:rFonts w:ascii="Arial" w:cs="Arial" w:eastAsia="Arial" w:hAnsi="Arial"/>
          <w:sz w:val="18"/>
          <w:szCs w:val="18"/>
          <w:i w:val="1"/>
          <w:iCs w:val="1"/>
          <w:color w:val="auto"/>
        </w:rPr>
        <w:t>Docklight</w:t>
      </w:r>
      <w:r>
        <w:rPr>
          <w:rFonts w:ascii="Arial" w:cs="Arial" w:eastAsia="Arial" w:hAnsi="Arial"/>
          <w:sz w:val="18"/>
          <w:szCs w:val="18"/>
          <w:color w:val="auto"/>
        </w:rPr>
        <w:t>”</w:t>
      </w:r>
      <w:r>
        <w:rPr>
          <w:rFonts w:ascii="Arial" w:cs="Arial" w:eastAsia="Arial" w:hAnsi="Arial"/>
          <w:sz w:val="18"/>
          <w:szCs w:val="18"/>
          <w:i w:val="1"/>
          <w:iCs w:val="1"/>
          <w:color w:val="auto"/>
        </w:rPr>
        <w:t>) royalty and management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previously paid Docklight a royalty fee pursuant to a brand licensing agreement which provided the Company with exclusive rights in Canada for the use of certain adult-use brands up until the Company returned the brand to Docklight. The Company has since terminated the agreement Docklight see Note 27 (Commitments and contingencies). During the year ended May 31, 2023, 2022 and 2021 royalty fees of $nil, $1,430 and $125, respectively were recorded within selling expenses in the statements of loss and comprehensive loss. While historically Docklight was considered a related party, as of May 31, 2023, Docklight is no longer a defined related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5" w:name="page86"/>
    <w:bookmarkEnd w:id="85"/>
    <w:p>
      <w:pPr>
        <w:ind w:left="320"/>
        <w:spacing w:after="0"/>
        <w:rPr>
          <w:sz w:val="20"/>
          <w:szCs w:val="20"/>
          <w:color w:val="auto"/>
        </w:rPr>
      </w:pPr>
      <w:r>
        <w:rPr>
          <w:rFonts w:ascii="Arial" w:cs="Arial" w:eastAsia="Arial" w:hAnsi="Arial"/>
          <w:sz w:val="18"/>
          <w:szCs w:val="18"/>
          <w:i w:val="1"/>
          <w:iCs w:val="1"/>
          <w:color w:val="auto"/>
        </w:rPr>
        <w:t>Cannfections Group Inc. (</w:t>
      </w:r>
      <w:r>
        <w:rPr>
          <w:rFonts w:ascii="Arial" w:cs="Arial" w:eastAsia="Arial" w:hAnsi="Arial"/>
          <w:sz w:val="18"/>
          <w:szCs w:val="18"/>
          <w:color w:val="auto"/>
        </w:rPr>
        <w:t>“</w:t>
      </w:r>
      <w:r>
        <w:rPr>
          <w:rFonts w:ascii="Arial" w:cs="Arial" w:eastAsia="Arial" w:hAnsi="Arial"/>
          <w:sz w:val="18"/>
          <w:szCs w:val="18"/>
          <w:i w:val="1"/>
          <w:iCs w:val="1"/>
          <w:color w:val="auto"/>
        </w:rPr>
        <w:t>Cannfections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has a joint venture arrangement with a 50% ownership and voting interest in Cannfections. During the year, the Company terminated the Supply Agreement with Cannfections and will not be transacting with them in future periods despite the joint venture arrangement remaining active. The Company is currently in arbitration with the other party that has an ownership interest in Cannfections in association with this termination. During the year ended May 31, 2023, 2022 and 2021, co-manufacturing fees on edible cannabis products were $1,377, $2,560, and $1,370 respectively and were recorded within cannabis costs of goods sold in the statements of loss and comprehensive loss.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6.  Capital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ind w:left="600"/>
              <w:spacing w:after="0"/>
              <w:rPr>
                <w:sz w:val="20"/>
                <w:szCs w:val="20"/>
                <w:color w:val="auto"/>
              </w:rPr>
            </w:pPr>
            <w:r>
              <w:rPr>
                <w:rFonts w:ascii="Arial" w:cs="Arial" w:eastAsia="Arial" w:hAnsi="Arial"/>
                <w:sz w:val="18"/>
                <w:szCs w:val="18"/>
                <w:color w:val="auto"/>
              </w:rPr>
              <w:t>Capital asset consisted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Production facility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453,412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254,486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576,485</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754,740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(167,241)</w:t>
            </w:r>
          </w:p>
        </w:tc>
      </w:tr>
      <w:tr>
        <w:trPr>
          <w:trHeight w:val="20"/>
        </w:trPr>
        <w:tc>
          <w:tcPr>
            <w:tcW w:w="7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429,667</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587,499</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0" w:firstLine="486"/>
        <w:spacing w:after="0" w:line="257" w:lineRule="auto"/>
        <w:rPr>
          <w:sz w:val="20"/>
          <w:szCs w:val="20"/>
          <w:color w:val="auto"/>
        </w:rPr>
      </w:pPr>
      <w:r>
        <w:rPr>
          <w:rFonts w:ascii="Arial" w:cs="Arial" w:eastAsia="Arial" w:hAnsi="Arial"/>
          <w:sz w:val="18"/>
          <w:szCs w:val="18"/>
          <w:color w:val="auto"/>
        </w:rPr>
        <w:t>The Company recorded non-cash impairments of $81,500 on its production facility in Canada and $22,500 on its equipment for the year ended May 31, 2023, which the Company has temporarily made idle in order to reduce cultivation costs and right-size the Company's production to align with current and projected demand. The impairment was calculated based on the excess of carrying value over fair value which was determined using a market approach. A reasonably possible change in any of the inputs within the determination of fair value would not result in a material change to the impairment recorded.</w:t>
      </w:r>
    </w:p>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operating leases for facilities, office spaces, production equipment and vehicles.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Leases have varying terms with remaining lease terms of up to approximately 20 years. Certain of our lease arrangements provide us with the option to extend or to terminate the lease early.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 on Balance Sheet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May 31, 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May 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right-of-use asset</w:t>
            </w:r>
          </w:p>
        </w:tc>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Right of use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Accrued lease obligations - current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Accrued lease obligations - non-current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040" w:type="dxa"/>
            <w:vAlign w:val="bottom"/>
          </w:tcPr>
          <w:p>
            <w:pPr>
              <w:spacing w:after="0"/>
              <w:rPr>
                <w:sz w:val="24"/>
                <w:szCs w:val="24"/>
                <w:color w:val="auto"/>
              </w:rPr>
            </w:pPr>
          </w:p>
        </w:tc>
        <w:tc>
          <w:tcPr>
            <w:tcW w:w="3820" w:type="dxa"/>
            <w:vAlign w:val="bottom"/>
          </w:tcPr>
          <w:p>
            <w:pPr>
              <w:jc w:val="right"/>
              <w:ind w:right="205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86" w:name="page87"/>
    <w:bookmarkEnd w:id="86"/>
    <w:p>
      <w:pPr>
        <w:jc w:val="both"/>
        <w:ind w:firstLine="648"/>
        <w:spacing w:after="0" w:line="277" w:lineRule="auto"/>
        <w:rPr>
          <w:sz w:val="20"/>
          <w:szCs w:val="20"/>
          <w:color w:val="auto"/>
        </w:rPr>
      </w:pPr>
      <w:r>
        <w:rPr>
          <w:rFonts w:ascii="Arial" w:cs="Arial" w:eastAsia="Arial" w:hAnsi="Arial"/>
          <w:sz w:val="18"/>
          <w:szCs w:val="18"/>
          <w:color w:val="auto"/>
        </w:rPr>
        <w:t>For the year ended May 31, 2023 the Company had $3,140 of operating lease expenses which included an offset of $662 for sublease income compared to $3,499 and $553 respectively for the year ended May 31,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future undiscounted payment associated with lease liabilities as of May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9"/>
              </w:rPr>
              <w:t>leases</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(7,952)</w:t>
            </w:r>
          </w:p>
        </w:tc>
      </w:tr>
      <w:tr>
        <w:trPr>
          <w:trHeight w:val="20"/>
        </w:trPr>
        <w:tc>
          <w:tcPr>
            <w:tcW w:w="7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7980" w:type="dxa"/>
            <w:vAlign w:val="bottom"/>
          </w:tcPr>
          <w:p>
            <w:pPr>
              <w:spacing w:after="0"/>
              <w:rPr>
                <w:sz w:val="20"/>
                <w:szCs w:val="20"/>
                <w:color w:val="auto"/>
              </w:rPr>
            </w:pPr>
            <w:r>
              <w:rPr>
                <w:rFonts w:ascii="Arial" w:cs="Arial" w:eastAsia="Arial" w:hAnsi="Arial"/>
                <w:sz w:val="18"/>
                <w:szCs w:val="18"/>
                <w:color w:val="auto"/>
              </w:rPr>
              <w:t>Obligations recognized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19"/>
                <w:szCs w:val="19"/>
                <w:color w:val="auto"/>
              </w:rPr>
            </w:pPr>
          </w:p>
        </w:tc>
      </w:tr>
      <w:tr>
        <w:trPr>
          <w:trHeight w:val="661"/>
        </w:trPr>
        <w:tc>
          <w:tcPr>
            <w:tcW w:w="7980" w:type="dxa"/>
            <w:vAlign w:val="bottom"/>
          </w:tcPr>
          <w:p>
            <w:pPr>
              <w:spacing w:after="0"/>
              <w:rPr>
                <w:sz w:val="20"/>
                <w:szCs w:val="20"/>
                <w:color w:val="auto"/>
              </w:rPr>
            </w:pPr>
            <w:r>
              <w:rPr>
                <w:rFonts w:ascii="Arial" w:cs="Arial" w:eastAsia="Arial" w:hAnsi="Arial"/>
                <w:sz w:val="18"/>
                <w:szCs w:val="18"/>
                <w:b w:val="1"/>
                <w:bCs w:val="1"/>
                <w:color w:val="auto"/>
              </w:rPr>
              <w:t>8.  Intangible assets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ind w:left="660"/>
              <w:spacing w:after="0"/>
              <w:rPr>
                <w:sz w:val="20"/>
                <w:szCs w:val="20"/>
                <w:color w:val="auto"/>
              </w:rPr>
            </w:pPr>
            <w:r>
              <w:rPr>
                <w:rFonts w:ascii="Arial" w:cs="Arial" w:eastAsia="Arial" w:hAnsi="Arial"/>
                <w:sz w:val="18"/>
                <w:szCs w:val="18"/>
                <w:color w:val="auto"/>
              </w:rPr>
              <w:t>Intangible assets are comprised of the following items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0"/>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May 31,</w:t>
            </w: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&amp; distribution channel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617,437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Licenses, permits &amp; applications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377,897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Intellectual property, trademarks, knowhow &amp; brands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634,997</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1,642,843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(187,088)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(154,124)</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(415,844)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(210,844)</w:t>
            </w:r>
          </w:p>
        </w:tc>
      </w:tr>
      <w:tr>
        <w:trPr>
          <w:trHeight w:val="20"/>
        </w:trPr>
        <w:tc>
          <w:tcPr>
            <w:tcW w:w="7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973,785</w:t>
            </w:r>
          </w:p>
        </w:tc>
        <w:tc>
          <w:tcPr>
            <w:tcW w:w="14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1,277,875</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recorded non-cash impairments of $110,000 of its customer relationships &amp; distribution channel, $55,000 of its licenses, permits &amp; applications, which were considered indefinite-lived intangible assets and $40,000 of its intellectual property, trademarks, knowhow &amp; brands during the Company's third quarter ended February 28, 2023, as a result of the decline in market share in its Canadian cannabis with certain product lines and customers. For the year ended May 31, 2022, as a result of delays in product registrations in Latin America and changes in market opportunities, causing a shift in our strategic priorities, management recorded a non-cash impairment of $110,033 of licenses, permits and applications and $85,471 of intellectual property, trademarks, knowhow &amp; brands, representing all of the intangible asset values related to those entities, and discounted cash flows.</w:t>
      </w:r>
    </w:p>
    <w:p>
      <w:pPr>
        <w:spacing w:after="0" w:line="164" w:lineRule="exact"/>
        <w:rPr>
          <w:sz w:val="20"/>
          <w:szCs w:val="20"/>
          <w:color w:val="auto"/>
        </w:rPr>
      </w:pPr>
    </w:p>
    <w:p>
      <w:pPr>
        <w:jc w:val="both"/>
        <w:ind w:left="160" w:firstLine="450"/>
        <w:spacing w:after="0" w:line="277" w:lineRule="auto"/>
        <w:rPr>
          <w:sz w:val="20"/>
          <w:szCs w:val="20"/>
          <w:color w:val="auto"/>
        </w:rPr>
      </w:pPr>
      <w:r>
        <w:rPr>
          <w:rFonts w:ascii="Arial" w:cs="Arial" w:eastAsia="Arial" w:hAnsi="Arial"/>
          <w:sz w:val="18"/>
          <w:szCs w:val="18"/>
          <w:color w:val="auto"/>
        </w:rPr>
        <w:t>As of May 31, 2023, included in licenses, permits &amp; applications is $181,093 of indefinite-lived intangible assets. As of May 31, 2022, there was $248,411 of indefinite-lived intangible assets included in Licenses, permits &amp; applications.</w:t>
      </w:r>
    </w:p>
    <w:p>
      <w:pPr>
        <w:spacing w:after="0" w:line="170" w:lineRule="exact"/>
        <w:rPr>
          <w:sz w:val="20"/>
          <w:szCs w:val="20"/>
          <w:color w:val="auto"/>
        </w:rPr>
      </w:pPr>
    </w:p>
    <w:p>
      <w:pPr>
        <w:jc w:val="both"/>
        <w:ind w:left="160" w:firstLine="486"/>
        <w:spacing w:after="0" w:line="255" w:lineRule="auto"/>
        <w:rPr>
          <w:sz w:val="20"/>
          <w:szCs w:val="20"/>
          <w:color w:val="auto"/>
        </w:rPr>
      </w:pPr>
      <w:r>
        <w:rPr>
          <w:rFonts w:ascii="Arial" w:cs="Arial" w:eastAsia="Arial" w:hAnsi="Arial"/>
          <w:sz w:val="18"/>
          <w:szCs w:val="18"/>
          <w:color w:val="auto"/>
        </w:rPr>
        <w:t>In calculating the 2023 impairment amount, using an income approach, the Company used a discount rate of 13.50%, increased from 11.21% used in the May 31, 2022 annual assessment, a terminal growth rate of 2%-5% consistent with the rate used in the May 31, 2022 annual assessment, and an average revenue growth rate of 0%-40% over 5 years to correlate with the cash flows anticipated with the individual intangible assets that were assessed, while these assets have not been assessed individually in the past the associated cash flows were included in the May 31, 2022 goodwill annual assessment which used an average growth rate of 46%. A reasonably possible change in any of the inputs within the determination of fair value would not result in a material change to the impairment recorded.</w:t>
      </w:r>
    </w:p>
    <w:p>
      <w:pPr>
        <w:spacing w:after="0" w:line="192" w:lineRule="exact"/>
        <w:rPr>
          <w:sz w:val="20"/>
          <w:szCs w:val="20"/>
          <w:color w:val="auto"/>
        </w:rPr>
      </w:pPr>
    </w:p>
    <w:p>
      <w:pPr>
        <w:jc w:val="both"/>
        <w:ind w:left="160" w:firstLine="486"/>
        <w:spacing w:after="0" w:line="259" w:lineRule="auto"/>
        <w:rPr>
          <w:sz w:val="20"/>
          <w:szCs w:val="20"/>
          <w:color w:val="auto"/>
        </w:rPr>
      </w:pPr>
      <w:r>
        <w:rPr>
          <w:rFonts w:ascii="Arial" w:cs="Arial" w:eastAsia="Arial" w:hAnsi="Arial"/>
          <w:sz w:val="18"/>
          <w:szCs w:val="18"/>
          <w:color w:val="auto"/>
        </w:rPr>
        <w:t>The Company performed the annual impairment test during the fourth quarter ended May 31, 2023, and determined there was no additional impairments. The Company used a discount rate of 13.50%, a terminal growth rate of 2%-5% and an average revenue growth rate of 0%-40% over 5 years. A reasonably possible change in any of the inputs within the determination of fair value would not result in a material change to the impairment recorded.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9660" w:type="dxa"/>
            <w:vAlign w:val="bottom"/>
          </w:tcPr>
          <w:p>
            <w:pPr>
              <w:ind w:left="660"/>
              <w:spacing w:after="0"/>
              <w:rPr>
                <w:sz w:val="20"/>
                <w:szCs w:val="20"/>
                <w:color w:val="auto"/>
              </w:rPr>
            </w:pPr>
            <w:r>
              <w:rPr>
                <w:rFonts w:ascii="Arial" w:cs="Arial" w:eastAsia="Arial" w:hAnsi="Arial"/>
                <w:sz w:val="18"/>
                <w:szCs w:val="18"/>
                <w:color w:val="auto"/>
              </w:rPr>
              <w:t>Estimated amortization expense for each of the five succeeding fiscal years and thereafter is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4"/>
                <w:szCs w:val="24"/>
                <w:color w:val="auto"/>
              </w:rPr>
            </w:pPr>
          </w:p>
        </w:tc>
      </w:tr>
      <w:tr>
        <w:trPr>
          <w:trHeight w:val="209"/>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74,169</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428,515</w:t>
            </w:r>
          </w:p>
        </w:tc>
        <w:tc>
          <w:tcPr>
            <w:tcW w:w="100" w:type="dxa"/>
            <w:vAlign w:val="bottom"/>
          </w:tcPr>
          <w:p>
            <w:pPr>
              <w:spacing w:after="0"/>
              <w:rPr>
                <w:sz w:val="18"/>
                <w:szCs w:val="18"/>
                <w:color w:val="auto"/>
              </w:rPr>
            </w:pPr>
          </w:p>
        </w:tc>
      </w:tr>
      <w:tr>
        <w:trPr>
          <w:trHeight w:val="209"/>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792,692</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Business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Double Diamond Distillery LLC (d/b/a Breckenridge Distillery)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December 7, 2021, the Company through its wholly-owned subsidiary Four Twenty Corporation, completed the purchase of all the membership interests of Double Diamond Distillery LLC (d/b/a Breckenridge Distillery), a Colorado limited liability company and distilled spirits brand located in Breckenridge, Colorado (the “Breckenridge Acquisition”). As consideration for the Breckenridge Acquisition, the Company paid a purchase price in an aggregate amount equal to $114,068, which purchase price was satisfied through the issuance of 12,540,479 shares of Tilray’s common shares.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fair value of the assets acquired and the liabilities assumed at the effective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Shares</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114,068</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Capital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 (15 years)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Intellectual property, trademarks &amp; brands (15 years)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69,950</w:t>
            </w:r>
          </w:p>
        </w:tc>
        <w:tc>
          <w:tcPr>
            <w:tcW w:w="100" w:type="dxa"/>
            <w:vAlign w:val="bottom"/>
          </w:tcPr>
          <w:p>
            <w:pPr>
              <w:spacing w:after="0"/>
              <w:rPr>
                <w:sz w:val="18"/>
                <w:szCs w:val="18"/>
                <w:color w:val="auto"/>
              </w:rPr>
            </w:pPr>
          </w:p>
        </w:tc>
      </w:tr>
      <w:tr>
        <w:trPr>
          <w:trHeight w:val="216"/>
        </w:trPr>
        <w:tc>
          <w:tcPr>
            <w:tcW w:w="9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6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116,898</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r>
      <w:tr>
        <w:trPr>
          <w:trHeight w:val="209"/>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60" w:type="dxa"/>
            <w:vAlign w:val="bottom"/>
          </w:tcPr>
          <w:p>
            <w:pPr>
              <w:ind w:left="180"/>
              <w:spacing w:after="0"/>
              <w:rPr>
                <w:sz w:val="20"/>
                <w:szCs w:val="20"/>
                <w:color w:val="auto"/>
              </w:rPr>
            </w:pPr>
            <w:r>
              <w:rPr>
                <w:rFonts w:ascii="Arial" w:cs="Arial" w:eastAsia="Arial" w:hAnsi="Arial"/>
                <w:sz w:val="18"/>
                <w:szCs w:val="18"/>
                <w:b w:val="1"/>
                <w:bCs w:val="1"/>
                <w:color w:val="auto"/>
              </w:rPr>
              <w:t>Total net assets acquired</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114,068</w:t>
            </w:r>
          </w:p>
        </w:tc>
        <w:tc>
          <w:tcPr>
            <w:tcW w:w="10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The goodwill of $2,797 is primarily related to factors such as synergies and market opportunities and is reported under the Company’s Beverage alcohol segment. Revenue for the Company would have been higher by approximately $12,000 for the year ended May 31, 2022, if the acquisition had taken place on June 1, 2021. Net loss and comprehensive net loss would have increased by approximately $3,000 for the year ended May 31, 2022, if the acquisition had taken place on June 1, 2021, primarily as a result of amortization of the intangible assets acquired.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8" w:name="page89"/>
    <w:bookmarkEnd w:id="88"/>
    <w:p>
      <w:pPr>
        <w:ind w:left="160"/>
        <w:spacing w:after="0"/>
        <w:rPr>
          <w:sz w:val="20"/>
          <w:szCs w:val="20"/>
          <w:color w:val="auto"/>
        </w:rPr>
      </w:pPr>
      <w:r>
        <w:rPr>
          <w:rFonts w:ascii="Arial" w:cs="Arial" w:eastAsia="Arial" w:hAnsi="Arial"/>
          <w:sz w:val="18"/>
          <w:szCs w:val="18"/>
          <w:i w:val="1"/>
          <w:iCs w:val="1"/>
          <w:u w:val="single" w:color="auto"/>
          <w:color w:val="auto"/>
        </w:rPr>
        <w:t>Acquisition of Montauk Brewing Company, Inc.</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7, 2022, Tilray acquired Montauk Brewing Company, Inc. (“Montauk”), a leading craft brewer company based in Montauk, New York. As consideration for the acquisition of Montauk, and after giving effect to post-closing adjustments, the Company paid an aggregate amount equal to $35,123. This purchase price was satisfied through payment of $28,701 in cash and $6,422 from the issuance of 1,708,521 shares of Tilray's common stock. In the event that Montauk achieves certain volume and/or EBITDA targets on or before December 31, 2025, the stockholders of Montauk shall be eligible to receive additional contingent cash consideration of up to $18,000. The Company determined that the closing date fair value of this contingent consideration was $10,245 based on the inputs disclosed in Note 28 (Financial risk management and financial instruments). In connection with this transaction, the Company is leveraging SweetWater’s existing nationwide infrastructure and Montauk’s northeast influence to significantly expand our distribution network and drive profitable growth in our beverage-alcohol segment. This distribution network is part of Tilray’s strategy to leverage our growing portfolio of CPG brands and ultimately to launch THC-based product adjacencies upon federal legalization in the U.S.</w:t>
      </w:r>
    </w:p>
    <w:p>
      <w:pPr>
        <w:spacing w:after="0" w:line="166" w:lineRule="exact"/>
        <w:rPr>
          <w:sz w:val="20"/>
          <w:szCs w:val="20"/>
          <w:color w:val="auto"/>
        </w:rPr>
      </w:pPr>
    </w:p>
    <w:p>
      <w:pPr>
        <w:jc w:val="both"/>
        <w:ind w:left="160" w:firstLine="486"/>
        <w:spacing w:after="0" w:line="270" w:lineRule="auto"/>
        <w:rPr>
          <w:sz w:val="20"/>
          <w:szCs w:val="20"/>
          <w:color w:val="auto"/>
        </w:rPr>
      </w:pPr>
      <w:r>
        <w:rPr>
          <w:rFonts w:ascii="Arial" w:cs="Arial" w:eastAsia="Arial" w:hAnsi="Arial"/>
          <w:sz w:val="17"/>
          <w:szCs w:val="17"/>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 During the six months ended May 31, 2023, the Company recorded measurement period adjustments to its initial allocation of purchase price as a result of ongoing valuation procedures on assets and liabilities assumed, included: (i) an increase in the cash consideration of $13, related to finalized working capital calculations; (ii) an increase to customer relationships of $1,970; (iii) an increase to intellectual property, trademarks &amp; brand of $1,220; (iii) a decrease to non-compete agreements of $1,240; (ii) an increase in other liabilities of $3,750, related to identified unfavorable contracts with third party production companies; (ii) a decrease in deferred tax liability of $1,617; and (iii) an increase to goodwill of $196 due to the incremental period adjustments. The impact of measurement period adjustments to the results of operations was immaterial.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60" w:type="dxa"/>
            <w:vAlign w:val="bottom"/>
            <w:vMerge w:val="restart"/>
          </w:tcPr>
          <w:p>
            <w:pPr>
              <w:spacing w:after="0"/>
              <w:rPr>
                <w:sz w:val="20"/>
                <w:szCs w:val="20"/>
                <w:color w:val="auto"/>
              </w:rPr>
            </w:pPr>
            <w:r>
              <w:rPr>
                <w:rFonts w:ascii="Arial" w:cs="Arial" w:eastAsia="Arial" w:hAnsi="Arial"/>
                <w:sz w:val="18"/>
                <w:szCs w:val="18"/>
                <w:b w:val="1"/>
                <w:bCs w:val="1"/>
                <w:color w:val="auto"/>
              </w:rPr>
              <w:t>Consideration</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Capital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Customer relationships (15 years)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trademarks &amp; brands (15 years)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6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0" w:firstLine="486"/>
        <w:spacing w:after="0" w:line="255" w:lineRule="auto"/>
        <w:rPr>
          <w:sz w:val="20"/>
          <w:szCs w:val="20"/>
          <w:color w:val="auto"/>
        </w:rPr>
      </w:pPr>
      <w:r>
        <w:rPr>
          <w:rFonts w:ascii="Arial" w:cs="Arial" w:eastAsia="Arial" w:hAnsi="Arial"/>
          <w:sz w:val="18"/>
          <w:szCs w:val="18"/>
          <w:color w:val="auto"/>
        </w:rPr>
        <w:t>The goodwill of $17,803 is primarily related to factors such as synergies and market opportunities and is reported under the Company’s Beverage alcohol segment. Revenue for the Company would have been higher by approximately $9,000 and $15,000 for the years ended May 31, 2023 and 2022 respectively, if the acquisition had taken place on June 1, 2021. Net loss and comprehensive net loss would have increased by approximately $1,700 for the year ended May 31, 2023, and 2022 if the acquisition had taken place on June 1, 2021, primarily as a result of amortization of the intangible assets acquired. This unaudited pro forma financial information does not reflect the realization of any expected ongoing synergies relating to the integration of Montauk.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10. Goodwill</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shows the carrying amount of goodwill:</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r>
      <w:tr>
        <w:trPr>
          <w:trHeight w:val="234"/>
        </w:trPr>
        <w:tc>
          <w:tcPr>
            <w:tcW w:w="7860" w:type="dxa"/>
            <w:vAlign w:val="bottom"/>
            <w:tcBorders>
              <w:bottom w:val="single" w:sz="8" w:color="auto"/>
            </w:tcBorders>
          </w:tcPr>
          <w:p>
            <w:pPr>
              <w:ind w:left="3360"/>
              <w:spacing w:after="0"/>
              <w:rPr>
                <w:sz w:val="20"/>
                <w:szCs w:val="20"/>
                <w:color w:val="auto"/>
              </w:rPr>
            </w:pPr>
            <w:r>
              <w:rPr>
                <w:rFonts w:ascii="Arial" w:cs="Arial" w:eastAsia="Arial" w:hAnsi="Arial"/>
                <w:sz w:val="18"/>
                <w:szCs w:val="18"/>
                <w:b w:val="1"/>
                <w:bCs w:val="1"/>
                <w:color w:val="auto"/>
              </w:rPr>
              <w:t>Reporting Unit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Cannabis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2,640,669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Distribution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Beverage alcohol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Wellness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Impairments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(842,431)</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(223,931)</w:t>
            </w:r>
          </w:p>
        </w:tc>
      </w:tr>
      <w:tr>
        <w:trPr>
          <w:trHeight w:val="25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2,008,843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160" w:firstLine="486"/>
        <w:spacing w:after="0" w:line="270" w:lineRule="auto"/>
        <w:rPr>
          <w:sz w:val="20"/>
          <w:szCs w:val="20"/>
          <w:color w:val="auto"/>
        </w:rPr>
      </w:pPr>
      <w:r>
        <w:rPr>
          <w:rFonts w:ascii="Arial" w:cs="Arial" w:eastAsia="Arial" w:hAnsi="Arial"/>
          <w:sz w:val="17"/>
          <w:szCs w:val="17"/>
          <w:color w:val="auto"/>
        </w:rPr>
        <w:t>As of February 28, 2023, based upon a combination of factors including a sustained decline in the Company’s market capitalization below the Company’s carrying value, coupled with challenging macro-economic conditions, most particularly the rising interest rate environment and slower than anticipated progress in global cannabis legalization, the Company concluded that it is more likely than not, that the fair value of our reporting units was less than their carrying amounts. Accordingly, the Company valued the fair value of each reporting segment by using the income approach, which estimates the fair value of each reporting unit based on the future discounted cash flows. Upon updating the Company’s forecasted cash flows there were no impairments identified from changes in management’s forecasts, however, due to the increased borrowing rates and the decline of the company’s market capitalization, the Company adjusted the Company specific risk premium which resulted in the non-cash impairment charges of $603,500 of cannabis goodwill and $15,000 of wellness goodwill for the year ended May 31, 2023. The non-cash charge has no impact on the Company’s compliance with debt covenants, its cash flows or available liquidity.</w:t>
      </w:r>
    </w:p>
    <w:p>
      <w:pPr>
        <w:spacing w:after="0" w:line="181" w:lineRule="exact"/>
        <w:rPr>
          <w:sz w:val="20"/>
          <w:szCs w:val="20"/>
          <w:color w:val="auto"/>
        </w:rPr>
      </w:pPr>
    </w:p>
    <w:p>
      <w:pPr>
        <w:jc w:val="both"/>
        <w:ind w:left="160" w:firstLine="450"/>
        <w:spacing w:after="0" w:line="296" w:lineRule="auto"/>
        <w:rPr>
          <w:sz w:val="20"/>
          <w:szCs w:val="20"/>
          <w:color w:val="auto"/>
        </w:rPr>
      </w:pPr>
      <w:r>
        <w:rPr>
          <w:rFonts w:ascii="Arial" w:cs="Arial" w:eastAsia="Arial" w:hAnsi="Arial"/>
          <w:sz w:val="16"/>
          <w:szCs w:val="16"/>
          <w:color w:val="auto"/>
        </w:rPr>
        <w:t>In the Company's cannabis goodwill assessment the Company used a discount rate of 13.50%, increased from 11.21% used in the May 31, 2022 annual assessment, a terminal growth rate of 5% consistent with the rate used in the May 31, 2022 annual assessment, and an average revenue growth rate of 40% over 5 years as a result of anticipated federal legalization in various countries, decreased from 46% used in the May 31, 2022 annual assessment. A 1% increase in the discount rate would result in an additional $300,000 in impairment, a 1% decrease in the terminal growth rate would result in an additional $250,000 in impairment and a 5% decrease in the average growth rate would result in an additional $200,000 in impairment.</w:t>
      </w:r>
    </w:p>
    <w:p>
      <w:pPr>
        <w:spacing w:after="0" w:line="161" w:lineRule="exact"/>
        <w:rPr>
          <w:sz w:val="20"/>
          <w:szCs w:val="20"/>
          <w:color w:val="auto"/>
        </w:rPr>
      </w:pPr>
    </w:p>
    <w:p>
      <w:pPr>
        <w:jc w:val="both"/>
        <w:ind w:left="160" w:firstLine="450"/>
        <w:spacing w:after="0" w:line="257" w:lineRule="auto"/>
        <w:rPr>
          <w:sz w:val="20"/>
          <w:szCs w:val="20"/>
          <w:color w:val="auto"/>
        </w:rPr>
      </w:pPr>
      <w:r>
        <w:rPr>
          <w:rFonts w:ascii="Arial" w:cs="Arial" w:eastAsia="Arial" w:hAnsi="Arial"/>
          <w:sz w:val="18"/>
          <w:szCs w:val="18"/>
          <w:color w:val="auto"/>
        </w:rPr>
        <w:t>In the Company's wellness goodwill assessment the Company used a discount rate of 11.80%, increased from 10% used in the May 31, 2022 annual assessment, a terminal growth rate of 3% consistent with the rate used in the May 31, 2022 annual assessment, and an average revenue growth rate of 10% over 5 years, consistent with the rate used in the May 31, 2022 annual assessment. A 1% increase in the discount rate would result in an additional $14,000 in impairment, a 1% decrease in the terminal growth rate would result in an additional $10,000 in impairment and a 5% decrease in the average growth rate would result in an additional $5,000 in impairment.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May 31, 2023, the Company completed its annual test for impairment, the Company used discount rates between 11.80% and 14.50%, terminal growth rates 2% and 5%, and average revenue growth rates between 2% and 40%. Based on the discounted cash flows there was no further impact from the February 28, 2023 assessment, and determined there were no additional impairments. A 1% increase in the discount rates would result in an additional $200,000 in impairment, a 1% decrease in the terminal growth rates would result in an additional $100,000 in impairment and a 5% decrease in the average growth rates would result in an additional $300,000 in impairment.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May 31, 2022, the Company recognized impairment charges of $182,736 in cannabis goodwill. This impairment charge was related to changes in market opportunities, causing a shift in our strategic priorities, and market conditions inclusive of higher rates of borrowing and lower foreign exchange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11. Convertible notes receivable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ind w:left="660"/>
              <w:spacing w:after="0"/>
              <w:rPr>
                <w:sz w:val="20"/>
                <w:szCs w:val="20"/>
                <w:color w:val="auto"/>
              </w:rPr>
            </w:pPr>
            <w:r>
              <w:rPr>
                <w:rFonts w:ascii="Arial" w:cs="Arial" w:eastAsia="Arial" w:hAnsi="Arial"/>
                <w:sz w:val="18"/>
                <w:szCs w:val="18"/>
                <w:color w:val="auto"/>
              </w:rPr>
              <w:t>Convertible notes receivable is comprised of the following investments: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HEXO Convertible Note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MedMen Convertible Note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notes receivable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Less - current portion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convertible notes receivable, non current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HEXO Corp. ("HEXO")</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12, 2022, the Company closed a strategic alliance with HEXO, pursuant to which the Company acquired the HEXO Convertible Note from HT Investments MA LLC (“HTI”). At the time of closing, the HEXO Convertible Note had a principal balance of $173,700, which is to be repaid and or redeemed at 110% of the outstanding principal balance. The purchase price paid to HTI for the HEXO Convertible Note was $157,272. The purchase price paid to HTI was satisfied by Tilray's issuance of (i) a newly-issued $50,000 convertible promissory note ("HTI Convertible Note"), see Note 17 (Convertible debentures payable) and (ii) the remaining balance was paid through the issuance of 33,314,412 shares of Tilray's common stock, par value $0.0001 (collectively, the “HTI Share Consideration”). The HEXO Convertible Note bears interest at a rate of 5.0% per annum, calculated daily, which is payable to Tilray on a semi-annual basis. Interest payments made under the HEXO Convertible Note will be paid in cash until July 12, 2023 and, thereafter, such interest shall accrue but be added to the principal amount. The HEXO Convertible Note has a maturity date of May 1, 2026. Subject to certain limitations and adjustments, the HEXO Convertible Note was convertible into HEXO Common Shares at Tilray's option at any time prior to the second scheduled trading day prior to the maturity date, at a conversion price of CAD$5.60 per HEXO Common share as determined the day before exercise, including all capitalized interest. HEXO has the ability to force the conversion if the daily VWAP per common share is equal to or exceeds $42.00 per share for twenty consecutive trading days. The conversion price was updated on December 19, 2022, from CAD$0.40 to CAD$5.60 to reflect HEXO's 14:1 reverse stock split. Under the HEXO Convertible Note, the Company held a first-priority security interest on substantially all of HEXO’s assets. In the event of a default on the HEXO Convertible Note, the Company would be entitled to exercise its rights as a secured creditor, and the Note would become redeemable at 115% of the outstanding principal balance.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third-party transaction costs associated with the acquisition of these notes were reimbursed by HEXO. During year ended May 31, 2023, in connection with the HEXO Convertible Note, the Company recognized interest income of $7,720, and an other-than-temporary change in fair value of the HEXO Convertible Note, which resulted in a loss of $128,552 for the year ended May 31, 2023. Due to changes in HEXO's share price and operations, which culminated in HEXO's assessment of a going concern issue regarding HEXO's ability to meet their minimum liquidity covenant, resulting in the Company increasing the forfeiture rate to 75% on the HEXO Convertible Note.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HTI Share Consideration included a purchase price derivative, where the consideration paid is adjusted based on the sum of the VWAP of the Company's common stock for the 44 trading days after the issuance of the shares. The purchase price derivative is settled through the issuance of additional shares of the Company if the share price declined, or a cash payment back to the Company if the share price increased over the applicable period. On issuance this was valued at $nil. The subsequent change in fair value resulted in a gain of $18,256 due to the share price increasing, which was recorded in Transaction (income) costs, and was collected in cash by the Company during the period ended May 31, 2023.</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HEXO Convertible Note was determined using the Black-Scholes model using the following assumptions: the risk-free rate of 3.50%; expected life of the convertible note; volatility of 90% based on comparable companies; forfeiture rate of 75%; dividend yield of nil and the exercise price of the respective conversion feature.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 with the aforementioned purchase of the HEXO Convertible Note, the Company and HEXO also entered into various commercial transaction agreements as described in Note 29 (Segment reporting). On April 10, 2023, we entered into an Arrangement Agreement with HEXO to acquire all of the issued and outstanding common shares of HEXO, upon closing this transaction, these convertible notes receivable were converted into shares of HEXO, as described in Note 30 (Subsequent events).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MedMen Enterprises Inc. (</w:t>
      </w:r>
      <w:r>
        <w:rPr>
          <w:rFonts w:ascii="Arial" w:cs="Arial" w:eastAsia="Arial" w:hAnsi="Arial"/>
          <w:sz w:val="18"/>
          <w:szCs w:val="18"/>
          <w:color w:val="auto"/>
        </w:rPr>
        <w:t>“</w:t>
      </w:r>
      <w:r>
        <w:rPr>
          <w:rFonts w:ascii="Arial" w:cs="Arial" w:eastAsia="Arial" w:hAnsi="Arial"/>
          <w:sz w:val="18"/>
          <w:szCs w:val="18"/>
          <w:b w:val="1"/>
          <w:bCs w:val="1"/>
          <w:color w:val="auto"/>
        </w:rPr>
        <w:t>MedMen</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31, 2021, the Company issued 9,817,061 shares valued at $117,804 to acquire 68% interest in Superhero Acquisition L.P. (“SH Acquisition”), which purchased a senior secured convertible note (the "MedMen Convertible Note"), together with certain associated warrants to acquire Class B subordinate voting shares of MedMen, in the principal amount of $165,799. The total purchase price including non-controlling interests contribution was $170,799, the MedMen Convertible Note bears interest at the Secured overnight financing rate ("SOFR") plus 6%, with a SOFR floor of 2.5% and, any accrued interest is added to the outstanding principal amount, and is to be paid at maturity of the MedMen Convertible Note. SH Acquisition was also granted “top-up” rights enabling it (and its limited partners) to maintain its percentage ownership (on an “as-converted” basis) in the event that MedMen issues equity securities upon conversion of convertible securities that may be issued by MedMen. The Company’s ability to convert the MedMen Convertible Note and exercise the Warrants is dependent upon U.S. federal legalization of cannabis (a “Triggering Event”) or Tilray’s waiver of such requirement as well as any additional regulatory approvals. The MedMen Convertible Note has a maturity date of August 17, 2028.</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May 31, 2023, in connection with the MedMen Convertible Note, the Company recognized an other-than-temporary change in fair value, which resulted in a non-cash impairment expense of $117,778 which includes the reversal of the fair value adjustments which were previously recorded in accumulated other comprehensive loss. As a result, of the deterioration of capital market conditions from increased interest rates and recent delays in US Federal cannabis legalization, the Company increased the forfeiture rate to 35% on the MedMen Convertible Note and recorded the aforementioned loss on the MedMen Convertible Notes through impairments.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interest income, which is included as part of the convertible debentures in the amount of $10,480 for the year ended May 31, 2023. The Company also recognized an unrealized gain (loss) on convertible notes receivable in other comprehensive income of $70,779 and ($70,779) for the year ended May 31, 2023 and May 31, 2022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MedMen Convertible Note was determined using the Black-Scholes model using the following assumptions: the risk-free rate of 3.50%; expected life of the convertible note; volatility of 70% based on comparable companies; forfeiture rate of 35%; dividend yield of nil; probability of legalization between 0% and 60%; and, the exercise price of the respective conversion feature.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12. Long-term investments</w:t>
            </w: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40" w:type="dxa"/>
            <w:vAlign w:val="bottom"/>
          </w:tcPr>
          <w:p>
            <w:pPr>
              <w:ind w:left="660"/>
              <w:spacing w:after="0"/>
              <w:rPr>
                <w:sz w:val="20"/>
                <w:szCs w:val="20"/>
                <w:color w:val="auto"/>
              </w:rPr>
            </w:pPr>
            <w:r>
              <w:rPr>
                <w:rFonts w:ascii="Arial" w:cs="Arial" w:eastAsia="Arial" w:hAnsi="Arial"/>
                <w:sz w:val="18"/>
                <w:szCs w:val="18"/>
                <w:color w:val="auto"/>
              </w:rPr>
              <w:t>Long-term investments are comprised of the following items:</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r>
      <w:tr>
        <w:trPr>
          <w:trHeight w:val="234"/>
        </w:trPr>
        <w:tc>
          <w:tcPr>
            <w:tcW w:w="6540" w:type="dxa"/>
            <w:vAlign w:val="bottom"/>
          </w:tcPr>
          <w:p>
            <w:pPr>
              <w:spacing w:after="0"/>
              <w:rPr>
                <w:sz w:val="20"/>
                <w:szCs w:val="20"/>
                <w:color w:val="auto"/>
              </w:rPr>
            </w:pPr>
          </w:p>
        </w:tc>
        <w:tc>
          <w:tcPr>
            <w:tcW w:w="2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fair value</w:t>
            </w:r>
          </w:p>
        </w:tc>
        <w:tc>
          <w:tcPr>
            <w:tcW w:w="14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2,144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investments under measurement alternative</w:t>
            </w:r>
          </w:p>
        </w:tc>
        <w:tc>
          <w:tcPr>
            <w:tcW w:w="1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5,651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7,795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equity investments at fair value consist of publicly traded shares, equity interest in non-traded companies and warrants held by the Company. The Company’s equity investments under measurement alternative include equity investments without readily determinable fair values. For the year ended May 31, 2023 the Company received proceeds of $nil on the sale of investments (2022-$nil, 2021-$8,430) and recognized $2,366 in unrealized losses due to the change in fair value of investments (2022-$6,731 2021-$1,567), the remaining change in long-term investments is a result of currency translation recognized in other comprehensive income.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13. Income taxes and deferred income taxes</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ind w:left="660"/>
              <w:spacing w:after="0"/>
              <w:rPr>
                <w:sz w:val="20"/>
                <w:szCs w:val="20"/>
                <w:color w:val="auto"/>
              </w:rPr>
            </w:pPr>
            <w:r>
              <w:rPr>
                <w:rFonts w:ascii="Arial" w:cs="Arial" w:eastAsia="Arial" w:hAnsi="Arial"/>
                <w:sz w:val="18"/>
                <w:szCs w:val="18"/>
                <w:color w:val="auto"/>
                <w:w w:val="94"/>
              </w:rPr>
              <w:t>Loss before income taxes includes the following components: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(912,717)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(81,772)</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(323,964)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(125,205)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(1,450,181)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(440,674)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(344,986)</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660"/>
              <w:spacing w:after="0"/>
              <w:rPr>
                <w:sz w:val="20"/>
                <w:szCs w:val="20"/>
                <w:color w:val="auto"/>
              </w:rPr>
            </w:pPr>
            <w:r>
              <w:rPr>
                <w:rFonts w:ascii="Arial" w:cs="Arial" w:eastAsia="Arial" w:hAnsi="Arial"/>
                <w:sz w:val="18"/>
                <w:szCs w:val="18"/>
                <w:color w:val="auto"/>
              </w:rPr>
              <w:t>The (recoveries) expense for income taxes consists of:</w:t>
            </w: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(4,055)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(13,917)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Income tax benefits, net</w:t>
            </w: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(7,181)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(6,542)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80" w:type="dxa"/>
            <w:vAlign w:val="bottom"/>
            <w:vMerge w:val="restart"/>
          </w:tcPr>
          <w:p>
            <w:pPr>
              <w:jc w:val="right"/>
              <w:ind w:right="490"/>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A reconciliation of income taxes at the statutory rate with the reported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rPr>
              <w:t>For the year ended May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net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(440,674)</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80"/>
              <w:spacing w:after="0"/>
              <w:rPr>
                <w:sz w:val="20"/>
                <w:szCs w:val="20"/>
                <w:color w:val="auto"/>
              </w:rPr>
            </w:pPr>
            <w:r>
              <w:rPr>
                <w:rFonts w:ascii="Arial" w:cs="Arial" w:eastAsia="Arial" w:hAnsi="Arial"/>
                <w:sz w:val="18"/>
                <w:szCs w:val="18"/>
                <w:color w:val="auto"/>
              </w:rPr>
              <w:t>Income tax benefits at statutory rate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(92,542)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(72,408)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impact of foreign operations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Foreign exchange and other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13,434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expenses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Non-deductible (taxable) losses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enacted rates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(13,359)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and other compensation</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285,698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deductible dividend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Impact on convertible debenture and other differences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(22,299)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transaction</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benefits, net</w:t>
            </w:r>
          </w:p>
        </w:tc>
        <w:tc>
          <w:tcPr>
            <w:tcW w:w="12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(6,542)</w:t>
            </w: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426"/>
        </w:trPr>
        <w:tc>
          <w:tcPr>
            <w:tcW w:w="542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w w:val="92"/>
              </w:rPr>
              <w:t>The following table summarizes the components of deferred tax:</w:t>
            </w:r>
          </w:p>
        </w:tc>
        <w:tc>
          <w:tcPr>
            <w:tcW w:w="8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May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assets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Operating loss carryforwards - United States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85,259</w:t>
            </w:r>
          </w:p>
        </w:tc>
        <w:tc>
          <w:tcPr>
            <w:tcW w:w="22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loss carryforwards - Canada</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Operating loss carryforwards - Other Countries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 carryforwards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244,227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Currently nondeductible interest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and convertible notes receivable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Investment tax credits and related pool balance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715,797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(625,368)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(354,071)</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90,429</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155,704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(18,129)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(38,387)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(305,577)</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Convertible Senior Notes Due 2023</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(14,204)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(257,793)</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(167,364)</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(196,638)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80" w:type="dxa"/>
            <w:vAlign w:val="bottom"/>
            <w:vMerge w:val="restart"/>
          </w:tcPr>
          <w:p>
            <w:pPr>
              <w:jc w:val="right"/>
              <w:ind w:right="49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94" w:name="page95"/>
    <w:bookmarkEnd w:id="94"/>
    <w:p>
      <w:pPr>
        <w:jc w:val="both"/>
        <w:ind w:firstLine="648"/>
        <w:spacing w:after="0" w:line="296" w:lineRule="auto"/>
        <w:rPr>
          <w:sz w:val="20"/>
          <w:szCs w:val="20"/>
          <w:color w:val="auto"/>
        </w:rPr>
      </w:pPr>
      <w:r>
        <w:rPr>
          <w:rFonts w:ascii="Arial" w:cs="Arial" w:eastAsia="Arial" w:hAnsi="Arial"/>
          <w:sz w:val="16"/>
          <w:szCs w:val="16"/>
          <w:color w:val="auto"/>
        </w:rPr>
        <w:t>The Tax Cuts and Jobs Act (2017 Tax Act) was enacted on December 22, 2017 and reduced the U.S. statutory federal corporate tax rate from 35% to 21%. The Tax Act also contains additional provisions that are effective for the company in 2018, including a new tax on Global Intangible Low-Taxed Income (“GILTI”). Under GAAP, we are allowed to make an accounting policy choice to either (i) treat taxes due on future U.S. inclusions in taxable income related to GILTI as a current-period expense when incurred (the "period cost method"); or (ii) factor in such amounts into the measurement of our deferred taxes (the "deferred method"). The Company has made a policy decision to record GILTI tax as a current-period expense when incurred.</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taxes have not been recorded on the basis differences for investments in consolidated subsidiaries as these basis differences are indefinitely reinvested or will reverse in a non-taxable manner. Quantification of the deferred income tax liability, if any, associated with indefinitely reinvested basis differences is not practicable. Deferred income taxes have been recorded on the basis differences for investments in nonconsolidated entities.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May 31, 2023, the Company had United States net operating loss carry-forwards of approximately $405,994 that can be carried forward indefinitely and generally limited in annual use to 80% of the current year taxable income starting 2021. The Company has Canadian net operating loss carry-forwards of approximately $545,712 that can be carried forward 20 years and begin to expire in 2028. Management believes that it is more-likely-than-not that the benefit from certain United States and foreign net operating loss carry-forwards will not be realized. In recognition of this risk, the Company has provided a valuation allowance on the deferred tax assets relating to these carry-forwards. The net change in the total valuation allowance was an increase of $271,297 and $88,131 for the years ended May 31, 2023 and 2022, respectively. The net change in the total valuation allowance was primarily a result of finalization of the purchase accounting related to the reverse acquisition transaction with Aphria Inc. during the prior year and certain current year losses.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recognizes the financial statement impact of a tax position only after determining that the relevant tax authority would more-likely-than-not sustain the position following an audit. For tax positions meeting the more-likely-than-not threshold, the amount recognized in the financial statements is the largest impact that has a greater than fifty percent likelihood of being realized upon ultimate settlement with the relevant tax authority.</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amount of gross unrecognized tax benefits (“GUTB”) was $0, $0, and $0 as of May 31, 2023, 2022 and 2021 respectively. There is a reasonable possibility that the Company’s unrecognized tax benefits will change within twelve months due to audit settlements or the expiration of statute of limitations, but the Company does not expect the change to be material to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interest and, if applicable, penalties for any uncertain tax positions. Interest and penalties are recorded as a component of income tax expenses. In the years ended May 31, 2023, 2022 and 2021, the Company recorded approximately $0, $0 and $0, respectively, of interest and penalty expenses related to uncertain tax positions. As of May 31, 2023, and 2022, the Company had a cumulative balance of accrued interest and penalties on unrecognized tax positions of $0 and $0, respectively.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and its subsidiaries are subject to United States federal income tax as well as the income tax of multiple state and foreign jurisdictions. The Company is not currently under audit in any jurisdiction for any period. Major jurisdictions where there are wholly owned subsidiaries of Tilray Brands, Inc. which require income tax filings include the Canada, Portugal, Germany, and Australia. The earliest periods open for review by local taxing authorities are fiscal years 2018 for Canada, 2019 for Portugal, 2018 for Germany, 2019 for Australia, and 2019 for United States.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Bank indebtedness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Aphria Inc., a subsidiary of the Company, has an operating line of credit in the amount of C$1,000 which bears interest at the lender’s prime rate plus 75 basis points. As of May 31, 2023, the Company has not drawn on the line of credit. The operating line of credit is secured by a security interest on that certain real property at 265 Talbot St. West, Leamington, Ontario.</w:t>
      </w:r>
    </w:p>
    <w:p>
      <w:pPr>
        <w:spacing w:after="0" w:line="184" w:lineRule="exact"/>
        <w:rPr>
          <w:sz w:val="20"/>
          <w:szCs w:val="20"/>
          <w:color w:val="auto"/>
        </w:rPr>
      </w:pPr>
    </w:p>
    <w:p>
      <w:pPr>
        <w:jc w:val="both"/>
        <w:ind w:firstLine="656"/>
        <w:spacing w:after="0" w:line="257" w:lineRule="auto"/>
        <w:tabs>
          <w:tab w:leader="none" w:pos="9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Pharma GmbH, a subsidiary of the Company, has three operating lines of credit for €5,000, €3,500, and €500 each, which bear interest at Euro Over Night Index Average plus 1.79% and Euro Interbank Offered Rate ("EURIBOR") plus 3.682% respectively. As of May 31, 2023, a total of €7,833 ($8,381) was drawn down from the available credit of €9,000. The operating lines of credit for €5,000 and €3,500 are secured by an interest in the inventory of CC Pharma GmbH and the property where the Densborn facility is located as well as the building. The operating line of credit for €500 is unsecured.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Four Twenty Corporation (“420”), a subsidiary of the Company, has a revolving credit facility of $30,000 which bears interest at EURIBOR plus an applicable margin. As of May 31, 2023, the Company has drawn $15,000 on the revolving line of credit. The revolving credit facility is secured by all of 420's assets and includes a corporate guarantee by a subsidiary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15. Accounts payable and accrued liabilities</w:t>
            </w: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60" w:type="dxa"/>
            <w:vAlign w:val="bottom"/>
          </w:tcPr>
          <w:p>
            <w:pPr>
              <w:ind w:left="660"/>
              <w:spacing w:after="0"/>
              <w:rPr>
                <w:sz w:val="20"/>
                <w:szCs w:val="20"/>
                <w:color w:val="auto"/>
              </w:rPr>
            </w:pPr>
            <w:r>
              <w:rPr>
                <w:rFonts w:ascii="Arial" w:cs="Arial" w:eastAsia="Arial" w:hAnsi="Arial"/>
                <w:sz w:val="18"/>
                <w:szCs w:val="18"/>
                <w:color w:val="auto"/>
              </w:rPr>
              <w:t>Accounts payable and accrued liabilities comprised of:</w:t>
            </w: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r>
      <w:tr>
        <w:trPr>
          <w:trHeight w:val="234"/>
        </w:trPr>
        <w:tc>
          <w:tcPr>
            <w:tcW w:w="5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68,604</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Accrued liabilities</w:t>
            </w: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82,240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57,497</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employment related taxes</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Income taxes payable</w:t>
            </w: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accruals</w:t>
            </w:r>
          </w:p>
        </w:tc>
        <w:tc>
          <w:tcPr>
            <w:tcW w:w="2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r>
      <w:tr>
        <w:trPr>
          <w:trHeight w:val="25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190,682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5060" w:type="dxa"/>
            <w:vAlign w:val="bottom"/>
          </w:tcPr>
          <w:p>
            <w:pPr>
              <w:spacing w:after="0"/>
              <w:rPr>
                <w:sz w:val="24"/>
                <w:szCs w:val="24"/>
                <w:color w:val="auto"/>
              </w:rPr>
            </w:pPr>
          </w:p>
        </w:tc>
        <w:tc>
          <w:tcPr>
            <w:tcW w:w="2920" w:type="dxa"/>
            <w:vAlign w:val="bottom"/>
          </w:tcPr>
          <w:p>
            <w:pPr>
              <w:jc w:val="right"/>
              <w:ind w:right="217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16. Long-term debt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tcPr>
          <w:p>
            <w:pPr>
              <w:ind w:left="660"/>
              <w:spacing w:after="0"/>
              <w:rPr>
                <w:sz w:val="20"/>
                <w:szCs w:val="20"/>
                <w:color w:val="auto"/>
              </w:rPr>
            </w:pPr>
            <w:r>
              <w:rPr>
                <w:rFonts w:ascii="Arial" w:cs="Arial" w:eastAsia="Arial" w:hAnsi="Arial"/>
                <w:sz w:val="18"/>
                <w:szCs w:val="18"/>
                <w:color w:val="auto"/>
              </w:rPr>
              <w:t>The following table sets forth the net carrying amount of long-term debt instruments: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Credit facility - C$66,000 - Canadian prime interest rate plus an applicable margin, 3-year term, with a 10-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year amortization, repayable in blended monthly payments, due in November 2025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45,260</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6"/>
              </w:rPr>
              <w:t>Term loan - C$25,000 - Canadian prime plus 1.00%, compounded monthly, 5-year term, with a 15-year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amortization, repayable in equal monthly installments of C$194 including interest, due in July 2023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Term loan - C$25,000 - Canadian prime plus 1.50%, compounded monthly, 5-year term with a 15-year</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repayable in equal monthly installments of C$190 including interest, due in April 2032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4"/>
              </w:rPr>
              <w:t>Term loan - C$1,250 - Canadian prime plus 1.50%, 5-year term, with a 10-year amortization, repayable in</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equal monthly installments of C$12 including interest, due in August 2026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Mortgage payable - C$3,750 - Canadian prime plus 1.50%, 5-year term, with a 20-year amortization,</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repayable in equal monthly installments of C$23 including interest, due in August 2026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3"/>
              </w:rPr>
              <w:t xml:space="preserve">Term loan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€5,000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EURIBOR plus 1.79%, 5</w:t>
            </w:r>
            <w:r>
              <w:rPr>
                <w:rFonts w:ascii="MS PGothic" w:cs="MS PGothic" w:eastAsia="MS PGothic" w:hAnsi="MS PGothic"/>
                <w:sz w:val="18"/>
                <w:szCs w:val="18"/>
                <w:color w:val="auto"/>
                <w:w w:val="93"/>
              </w:rPr>
              <w:t>‐</w:t>
            </w:r>
            <w:r>
              <w:rPr>
                <w:rFonts w:ascii="Arial" w:cs="Arial" w:eastAsia="Arial" w:hAnsi="Arial"/>
                <w:sz w:val="18"/>
                <w:szCs w:val="18"/>
                <w:color w:val="auto"/>
                <w:w w:val="93"/>
              </w:rPr>
              <w:t>year term, repayable in quarterly installments of €250 plus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interest, due in December 2023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 xml:space="preserve">Term loan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€1,200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EURIBOR plus 1.79%, 1</w:t>
            </w:r>
            <w:r>
              <w:rPr>
                <w:rFonts w:ascii="MS PGothic" w:cs="MS PGothic" w:eastAsia="MS PGothic" w:hAnsi="MS PGothic"/>
                <w:sz w:val="18"/>
                <w:szCs w:val="18"/>
                <w:color w:val="auto"/>
                <w:w w:val="94"/>
              </w:rPr>
              <w:t>‐</w:t>
            </w:r>
            <w:r>
              <w:rPr>
                <w:rFonts w:ascii="Arial" w:cs="Arial" w:eastAsia="Arial" w:hAnsi="Arial"/>
                <w:sz w:val="18"/>
                <w:szCs w:val="18"/>
                <w:color w:val="auto"/>
                <w:w w:val="94"/>
              </w:rPr>
              <w:t>year term, repayable in monthly installments of €100 plus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due in December 2023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3"/>
              </w:rPr>
              <w:t xml:space="preserve">Term loan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€5,000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EURIBOR plus 2.68%, 5</w:t>
            </w:r>
            <w:r>
              <w:rPr>
                <w:rFonts w:ascii="MS PGothic" w:cs="MS PGothic" w:eastAsia="MS PGothic" w:hAnsi="MS PGothic"/>
                <w:sz w:val="18"/>
                <w:szCs w:val="18"/>
                <w:color w:val="auto"/>
                <w:w w:val="93"/>
              </w:rPr>
              <w:t>‐</w:t>
            </w:r>
            <w:r>
              <w:rPr>
                <w:rFonts w:ascii="Arial" w:cs="Arial" w:eastAsia="Arial" w:hAnsi="Arial"/>
                <w:sz w:val="18"/>
                <w:szCs w:val="18"/>
                <w:color w:val="auto"/>
                <w:w w:val="93"/>
              </w:rPr>
              <w:t>year term, repayable in quarterly installments of €250 plus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interest, due in December 2023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 xml:space="preserve">Term loan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€1,500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EURBIOR plus 2.00%, 5</w:t>
            </w:r>
            <w:r>
              <w:rPr>
                <w:rFonts w:ascii="MS PGothic" w:cs="MS PGothic" w:eastAsia="MS PGothic" w:hAnsi="MS PGothic"/>
                <w:sz w:val="18"/>
                <w:szCs w:val="18"/>
                <w:color w:val="auto"/>
                <w:w w:val="99"/>
              </w:rPr>
              <w:t>‐</w:t>
            </w:r>
            <w:r>
              <w:rPr>
                <w:rFonts w:ascii="Arial" w:cs="Arial" w:eastAsia="Arial" w:hAnsi="Arial"/>
                <w:sz w:val="18"/>
                <w:szCs w:val="18"/>
                <w:color w:val="auto"/>
                <w:w w:val="99"/>
              </w:rPr>
              <w:t>year term, repayable in quarterly installments of €92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including interest, due in April 2025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9"/>
              </w:rPr>
              <w:t xml:space="preserve">Term loan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€1,500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EURIBOR plus 2.00%, 5</w:t>
            </w:r>
            <w:r>
              <w:rPr>
                <w:rFonts w:ascii="MS PGothic" w:cs="MS PGothic" w:eastAsia="MS PGothic" w:hAnsi="MS PGothic"/>
                <w:sz w:val="18"/>
                <w:szCs w:val="18"/>
                <w:color w:val="auto"/>
                <w:w w:val="99"/>
              </w:rPr>
              <w:t>‐</w:t>
            </w:r>
            <w:r>
              <w:rPr>
                <w:rFonts w:ascii="Arial" w:cs="Arial" w:eastAsia="Arial" w:hAnsi="Arial"/>
                <w:sz w:val="18"/>
                <w:szCs w:val="18"/>
                <w:color w:val="auto"/>
                <w:w w:val="99"/>
              </w:rPr>
              <w:t>year term, repayable in quarterly installments of €94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including interest, due in June 2025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 payable - $22,635 - EURIBOR rate plus 1.5%, 10-year term, with a 10-year amortization,</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repayable in monthly installments of $57 plus interest, due in October 2030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line="201" w:lineRule="exact"/>
              <w:rPr>
                <w:sz w:val="20"/>
                <w:szCs w:val="20"/>
                <w:color w:val="auto"/>
              </w:rPr>
            </w:pPr>
            <w:r>
              <w:rPr>
                <w:rFonts w:ascii="Arial" w:cs="Arial" w:eastAsia="Arial" w:hAnsi="Arial"/>
                <w:sz w:val="18"/>
                <w:szCs w:val="18"/>
                <w:color w:val="auto"/>
                <w:w w:val="91"/>
              </w:rPr>
              <w:t>Term loan - $65,000 - SOFR rate plus an applicable margin, 5-year term, repayable in quarterly installments,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due in June 2028</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long-term debt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Unamortized financing fees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Less principal portion included in 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(67,823)</w:t>
            </w: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portion of 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136,889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28, 2022, the Company, through its 51% owned subsidiary Aphria Diamond, entered into an Amended and Restated Credit Agreement (the “Amended and Restated Credit Agreement”) amending and restating the existing credit facility in the aggregate principal amount of C$66,000. The Amended and Restated Credit Agreement extended the term of the existing credit facility to November 28, 2025. The principal amount of loans outstanding at the time of the amendment was C$66,000 and is secured by the property at 620 Country Road 14, Leamington, Ontario, owned by Aphria Diamond and a guarantee from Aphria Inc.</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term loan of C$25,000 was entered into on July 27, 2018 and is secured by the property at 223, 231, 239, 265, 269, 271 and 275 Talbot Street West, Leamington Ontario, a first position on a general security agreement, and an assignment of fire insurance to the lender.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7" w:name="page98"/>
    <w:bookmarkEnd w:id="97"/>
    <w:p>
      <w:pPr>
        <w:jc w:val="both"/>
        <w:ind w:firstLine="648"/>
        <w:spacing w:after="0" w:line="277" w:lineRule="auto"/>
        <w:rPr>
          <w:sz w:val="20"/>
          <w:szCs w:val="20"/>
          <w:color w:val="auto"/>
        </w:rPr>
      </w:pPr>
      <w:r>
        <w:rPr>
          <w:rFonts w:ascii="Arial" w:cs="Arial" w:eastAsia="Arial" w:hAnsi="Arial"/>
          <w:sz w:val="18"/>
          <w:szCs w:val="18"/>
          <w:color w:val="auto"/>
        </w:rPr>
        <w:t>The term loan of C$25,000 was entered into on May 9, 2017 and is secured by the property at 265 Talbot Street West, Leamington Ontario, a first position on a general security agreement, and an assignment of fire insurance to the lender.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loan of C$1,250 and mortgage payable of C$3,750 were entered into on July 22, 2016 and are secured by the property at 265 Talbot Street West, Leamington, Ontario and a first position on a general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entered into term loans between December 2019 and November 2023 for €14,200 through wholly owned subsidiary CC Pharma.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term loans are secured against the distribution inventory held by CC Pharma and by the land where the facility is located and the building.</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May 31, 2022, the Company acquired all the membership interests in Cheese Grits, LLC, a Georgia limited liability company that owns the SweetWater Brewing Company brewery and taproom in Atlanta, Georgia, which facility was previously leased to the Company. Cheese Grits, LLC, was owned by certain former equity holders of SweetWater and current employees. As part of this purchase, the Company through subsidiary Cheese Grits, LLC, acquired the mortgage payable which is secured against the brewery and taproom.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 secured credit agreement on March 31, 2021 for a term loan of $100,000 through wholly owned subsidiary Four Twenty Corporation (“420”). 420 provided all of its and its subsidiaries’ assets as security for the loan and Aphria Inc. provided a corporate guarantee. Subsequent to year end, the Company refinanced this debt which amended the interest rates to lower the applicable margins, extended the maturity to June 2028, provided a new repayment schedule and amended the corporate guarantee from Aphria Inc. to Tilray Brands, Inc. See Note 30 (Subsequent Events) for additional details.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maintains, certain financial covenants or minimum balances in certain Canadian cash operating accounts, as at May 31, 2023, the Company was in compliance with all the long-term debt covenants.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Convertible debentures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net carrying amount of the convertible debentures: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May 31,</w:t>
            </w:r>
          </w:p>
        </w:tc>
        <w:tc>
          <w:tcPr>
            <w:tcW w:w="24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5.20%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("TLRY 27")</w:t>
            </w:r>
          </w:p>
        </w:tc>
        <w:tc>
          <w:tcPr>
            <w:tcW w:w="3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HTI Convertible Note</w:t>
            </w: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5.25%</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("APHA 24")</w:t>
            </w:r>
          </w:p>
        </w:tc>
        <w:tc>
          <w:tcPr>
            <w:tcW w:w="3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216,753</w:t>
            </w: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5.00%</w:t>
            </w:r>
          </w:p>
        </w:tc>
        <w:tc>
          <w:tcPr>
            <w:tcW w:w="4340" w:type="dxa"/>
            <w:vAlign w:val="bottom"/>
          </w:tcPr>
          <w:p>
            <w:pPr>
              <w:ind w:left="20"/>
              <w:spacing w:after="0"/>
              <w:rPr>
                <w:sz w:val="20"/>
                <w:szCs w:val="20"/>
                <w:color w:val="auto"/>
              </w:rPr>
            </w:pPr>
            <w:r>
              <w:rPr>
                <w:rFonts w:ascii="Arial" w:cs="Arial" w:eastAsia="Arial" w:hAnsi="Arial"/>
                <w:sz w:val="18"/>
                <w:szCs w:val="18"/>
                <w:color w:val="auto"/>
              </w:rPr>
              <w:t>Convertible Notes ("TLRY 23")</w:t>
            </w:r>
          </w:p>
        </w:tc>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126,544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185,196</w:t>
            </w:r>
          </w:p>
        </w:tc>
        <w:tc>
          <w:tcPr>
            <w:tcW w:w="100" w:type="dxa"/>
            <w:vAlign w:val="bottom"/>
          </w:tcPr>
          <w:p>
            <w:pPr>
              <w:spacing w:after="0"/>
              <w:rPr>
                <w:sz w:val="18"/>
                <w:szCs w:val="18"/>
                <w:color w:val="auto"/>
              </w:rPr>
            </w:pPr>
          </w:p>
        </w:tc>
      </w:tr>
      <w:tr>
        <w:trPr>
          <w:trHeight w:val="21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395,422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Less - current portion</w:t>
            </w:r>
          </w:p>
        </w:tc>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174,378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convertible debentures payable, non current portion</w:t>
            </w:r>
          </w:p>
        </w:tc>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221,044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28"/>
        </w:trPr>
        <w:tc>
          <w:tcPr>
            <w:tcW w:w="4840" w:type="dxa"/>
            <w:vAlign w:val="bottom"/>
            <w:gridSpan w:val="2"/>
          </w:tcPr>
          <w:p>
            <w:pPr>
              <w:ind w:left="340"/>
              <w:spacing w:after="0"/>
              <w:rPr>
                <w:sz w:val="20"/>
                <w:szCs w:val="20"/>
                <w:color w:val="auto"/>
              </w:rPr>
            </w:pPr>
            <w:r>
              <w:rPr>
                <w:rFonts w:ascii="Arial" w:cs="Arial" w:eastAsia="Arial" w:hAnsi="Arial"/>
                <w:sz w:val="18"/>
                <w:szCs w:val="18"/>
                <w:i w:val="1"/>
                <w:iCs w:val="1"/>
                <w:color w:val="auto"/>
              </w:rPr>
              <w:t>HTI Convertible Note</w:t>
            </w: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May 31,</w:t>
            </w:r>
          </w:p>
        </w:tc>
        <w:tc>
          <w:tcPr>
            <w:tcW w:w="240" w:type="dxa"/>
            <w:vAlign w:val="bottom"/>
          </w:tcPr>
          <w:p>
            <w:pPr>
              <w:spacing w:after="0"/>
              <w:rPr>
                <w:sz w:val="24"/>
                <w:szCs w:val="24"/>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4.00%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debenture</w:t>
            </w:r>
          </w:p>
        </w:tc>
        <w:tc>
          <w:tcPr>
            <w:tcW w:w="3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Unamortized discount</w:t>
            </w: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(2,166)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140" w:type="dxa"/>
            <w:vAlign w:val="bottom"/>
          </w:tcPr>
          <w:p>
            <w:pPr>
              <w:jc w:val="right"/>
              <w:ind w:right="217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98" w:name="page99"/>
    <w:bookmarkEnd w:id="98"/>
    <w:p>
      <w:pPr>
        <w:jc w:val="both"/>
        <w:ind w:firstLine="648"/>
        <w:spacing w:after="0" w:line="270" w:lineRule="auto"/>
        <w:rPr>
          <w:sz w:val="20"/>
          <w:szCs w:val="20"/>
          <w:color w:val="auto"/>
        </w:rPr>
      </w:pPr>
      <w:r>
        <w:rPr>
          <w:rFonts w:ascii="Arial" w:cs="Arial" w:eastAsia="Arial" w:hAnsi="Arial"/>
          <w:sz w:val="17"/>
          <w:szCs w:val="17"/>
          <w:color w:val="auto"/>
        </w:rPr>
        <w:t>On July 12, 2022, the Company issued a $50,000 convertible promissory note to HTI ("HTI Convertible Note"), bearing a 4% interest rate payable on a quarterly basis and having a maturity date of September 1, 2023. The fair value of the conversion feature was determined to be $9,055, recorded in additional paid in capital. Refer to Note 11 (Convertible notes receivable</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details on this transaction. HTI may convert the HTI Convertible Note, in whole or in part, at any time prior to the second trading day immediately preceding the maturity date, into shares of Common Stock at a conversion price equal to $4.03, which is calculated as 125% of the closing sale price as of the closing date ( July 12, 2022). In no event will HTI be allowed to effect a conversion of the HTI Convertible Note if such conversion, along with all other shares of Common Stock beneficially owned by HTI and its affiliates, would exceed 9.99% of the outstanding Common Stock (the "Beneficial Ownership Limitation") of the Company. If HTI does not elect or is unable to elect to convert under the Beneficial Ownership Limitation or if the share price on the immediately preceding Trading Day is not equal to or greater than $2.00, the Company will be responsible for repaying the HTI Convertible Note in cash.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360"/>
              <w:spacing w:after="0"/>
              <w:rPr>
                <w:sz w:val="20"/>
                <w:szCs w:val="20"/>
                <w:color w:val="auto"/>
              </w:rPr>
            </w:pPr>
            <w:r>
              <w:rPr>
                <w:rFonts w:ascii="Arial" w:cs="Arial" w:eastAsia="Arial" w:hAnsi="Arial"/>
                <w:sz w:val="18"/>
                <w:szCs w:val="18"/>
                <w:i w:val="1"/>
                <w:iCs w:val="1"/>
                <w:color w:val="auto"/>
              </w:rPr>
              <w:t>TLRY 27</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24"/>
                <w:szCs w:val="24"/>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5.20% Contractual debenture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Unamortized discount</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(49,524)</w:t>
            </w:r>
          </w:p>
        </w:tc>
        <w:tc>
          <w:tcPr>
            <w:tcW w:w="24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TLRY 27 convertible debentures, were entered into on May 30, 2023, in the principal amount of $150,000, bears interest at a rate of 5.20% per annum, payable semi-annually in arrears on June 15 and December 15 of each year, and matures on June 15, 2027, unless earlier converted. The TLRY 27 is an unsecured obligation and ranks senior in right of payment to all indebtedness that is expressly subordinated in right of payment to TLRY 27. The TLRY 27 will rank equal in right of payment with all liabilities that are not subordinated. The TLRY 27 is effectively junior to any secured indebtedness to the extent of the value of the assets securing such indebtedness.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an initial conversion price of approximately $2.66 per share. The conversion rate and conversion price will be subject to adjustment upon the occurrence of certain events.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under which it lent to the Share Borrower 38,500,000 shares of the Company’s common stock. The borrowed shares were newly-issued shares, issued in connection with the offering of the TLRY 27 Notes and will be held as treasury shares until the expiration or early termination of the share lending agreement. Purchasers of the TLRY 27 Notes may separately sell up to 38,500,000 shares of the Company’s common stock that they may borrow through the Share Borrower.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 from the Note purchasers. See Note 30 (Subsequent Events) for additional details of transactions related to this security that occurred after period end.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at May 31, 2023, there was $150,000 principal outstanding (2022 - $nil).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360"/>
              <w:spacing w:after="0"/>
              <w:rPr>
                <w:sz w:val="20"/>
                <w:szCs w:val="20"/>
                <w:color w:val="auto"/>
              </w:rPr>
            </w:pPr>
            <w:r>
              <w:rPr>
                <w:rFonts w:ascii="Arial" w:cs="Arial" w:eastAsia="Arial" w:hAnsi="Arial"/>
                <w:sz w:val="18"/>
                <w:szCs w:val="18"/>
                <w:i w:val="1"/>
                <w:iCs w:val="1"/>
                <w:color w:val="auto"/>
              </w:rPr>
              <w:t>APHA 24</w:t>
            </w:r>
          </w:p>
        </w:tc>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5.25% Contractual debenture</w:t>
            </w: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amount paid</w:t>
            </w: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(213,260)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(90,760)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(42,487)</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Net carrying amount</w:t>
            </w:r>
          </w:p>
        </w:tc>
        <w:tc>
          <w:tcPr>
            <w:tcW w:w="4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120,568</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160" w:type="dxa"/>
            <w:vAlign w:val="bottom"/>
            <w:vMerge w:val="restart"/>
          </w:tcPr>
          <w:p>
            <w:pPr>
              <w:jc w:val="right"/>
              <w:ind w:right="2170"/>
              <w:spacing w:after="0"/>
              <w:rPr>
                <w:sz w:val="20"/>
                <w:szCs w:val="20"/>
                <w:color w:val="auto"/>
              </w:rPr>
            </w:pPr>
            <w:r>
              <w:rPr>
                <w:rFonts w:ascii="Arial" w:cs="Arial" w:eastAsia="Arial" w:hAnsi="Arial"/>
                <w:sz w:val="18"/>
                <w:szCs w:val="18"/>
                <w:color w:val="auto"/>
              </w:rPr>
              <w:t>97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99" w:name="page100"/>
    <w:bookmarkEnd w:id="99"/>
    <w:p>
      <w:pPr>
        <w:jc w:val="both"/>
        <w:ind w:firstLine="648"/>
        <w:spacing w:after="0" w:line="257" w:lineRule="auto"/>
        <w:rPr>
          <w:sz w:val="20"/>
          <w:szCs w:val="20"/>
          <w:color w:val="auto"/>
        </w:rPr>
      </w:pPr>
      <w:r>
        <w:rPr>
          <w:rFonts w:ascii="Arial" w:cs="Arial" w:eastAsia="Arial" w:hAnsi="Arial"/>
          <w:sz w:val="18"/>
          <w:szCs w:val="18"/>
          <w:color w:val="auto"/>
        </w:rPr>
        <w:t>The APHA 24 convertible debentures, were entered into in April 2019, in the principal amount of $350,000, bears interest at a rate of 5.25% per annum, payable semi-annually in arrears on June 1 and December 1 of each year, and matures on June 1, 2024, unless earlier converted. The APHA 24 is an unsecured obligation and ranks senior in right of payment to all indebtedness that is expressly subordinated in right of payment to APHA 24. The APHA 24 ranks equal in right of payment with all liabilities that are not subordinated. The APHA 24 is effectively junior to any secured indebtedness to the extent of the value of the assets securing such indebtedness.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the APHA 24 may convert all or any portion of their Notes, in multiples of one thousand dollars principal amount, at their option at any time between December 1, 2023 to the maturity date. The initial conversion rate for the APHA 24 will be 89.31162364 shares of common stock per one thousand dollars principal amount of Notes, which will be settled in cash, common shares of Aphria or a combination thereof, at Tilray’s election. This is equivalent to an initial conversion price of approximately $11.20 per common share, subject to adjustments in certain events. In addition, holders of the APHA 24 may convert all or any portion of their Notes, in multiples of one thousand dollars principal amount, at their option at any time preceding December 1, 2023, if any of the following:</w:t>
      </w:r>
    </w:p>
    <w:p>
      <w:pPr>
        <w:spacing w:after="0" w:line="192"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the five-business day period after any five consecutive trading day period (the “measurement period”) in which the trading price per one thousand dollars principal amount of the APHA 24 for each trading day of the measurement period is less than 98% of the product of the last reported sale price of the Company’s common shares and the conversion rate on each such trading day;</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calls any or all of the APHA 24 for redemption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occurrence of specified corporate event.</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was not able to redeem the APHA 24 prior to June 6, 2022, except upon the occurrence of certain changes in tax laws. On or after June 6, 2022, the Company may redeem for cash all or part of the APHA 24,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elected the fair value option under ASC 825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the APHA 24. The APHA 24 was initially recognized at fair value on the balance sheet. All subsequent changes in fair value, excluding the impact of the change in fair value related to instrument-specific credit risk are recorded in non-operating income. The changes in fair value related to instrument-specific credit risk is recorded through other comprehensive income (loss).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may from time to time seek to retire or purchase its APHA 24, in open market purchases, privately negotiated transactions or otherwise. Such purchases or exchanges, if any, will depend on prevailing market conditions, the company's liquidity requirements, contractual restrictions and other factors. During the year, the Company purchased $122,500 principal of APHA 24.</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overall change in fair value of the APHA 24 during the year ended May 31, 2023 increased by $26,315, this was comprised of $43,733 of fair value changes which was offset by the decrease in foreign exchange of $17,418 (2022 – decrease of $163,670 and $19,021, 2021 – increase of $170,453 and $32,586).</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aggregate change in fair value of convertible debenture payable of $43,651 recorded in Note 24 (Other non-operating (expense) income) is comprised of the increase from APHA 24 of $43,733 less the decrease of $82 in fair value on the repurchased TLRY 23 debentures noted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As at May 31, 2023, there was $136,740 principal outstanding (2022 - $259,400).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May 31, 2023, the Company recognized total interest expense of $13,610 (2022 – $13,600, 2021 – $13,600).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360"/>
              <w:spacing w:after="0"/>
              <w:rPr>
                <w:sz w:val="20"/>
                <w:szCs w:val="20"/>
                <w:color w:val="auto"/>
              </w:rPr>
            </w:pPr>
            <w:r>
              <w:rPr>
                <w:rFonts w:ascii="Arial" w:cs="Arial" w:eastAsia="Arial" w:hAnsi="Arial"/>
                <w:sz w:val="18"/>
                <w:szCs w:val="18"/>
                <w:i w:val="1"/>
                <w:iCs w:val="1"/>
                <w:color w:val="auto"/>
              </w:rPr>
              <w:t>TLRY 23</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5.00% Contractual debenture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Principal amount paid</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(150,526)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(88,026)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(4,634)</w:t>
            </w:r>
          </w:p>
        </w:tc>
      </w:tr>
      <w:tr>
        <w:trPr>
          <w:trHeight w:val="20"/>
        </w:trPr>
        <w:tc>
          <w:tcPr>
            <w:tcW w:w="7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Net carrying amount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126,544</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185,196</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TLRY 23 bears interest at a rate of 5.00% per annum, payable semi-annually in arrears on April 1 and October 1 of each year. Additional interest may accrue on the TLRY 23 in specified circumstances. The TLRY 23 will mature on October 1, 2023, unless earlier repurchased, redeemed or converted. There are no principal payments required over the five-year term of the TLRY 23, except in the case of redemption or events of defaults.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TLRY 23 is an unsecured obligation and ranks senior in right of payment to all of the Company’s indebtedness that is expressly subordinated in right of payment to the TLRY 23; equal in right of payment with any of the Company’s unsecured indebtedness that is not so subordinated; effectively junior in right of payment to any of Company’s secured indebtedness to the extent of the value of the assets securing such indebtedness; and structurally junior to all indebtedness and other liabilities (including trade payables but excluding intercompany obligations) of the Company’s current or future subsidiaries.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TLRY 23 includes customary covenants and sets forth certain events of default after which the convertible notes may be declared immediately due and payable, including certain types of bankruptcy or insolvency involving the Company. To the extent the Company so elects, the sole remedy for an event of default relating to certain failures by the Company to comply with certain reporting covenants, for the first 365 days after such event of default, consist exclusively of the right to receive additional interest on the notes. 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760,588 shares of common stock, based on the $127,330 aggregate principal amount of convertible notes outstanding as of May 31, 2023 (2022 - shares of 1,133,923 based on principal of $189,830. Throughout the term of the TLRY 23, the conversion rate may be adjusted upon the occurrence of certain events.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1" w:name="page102"/>
    <w:bookmarkEnd w:id="101"/>
    <w:p>
      <w:pPr>
        <w:jc w:val="both"/>
        <w:ind w:firstLine="648"/>
        <w:spacing w:after="0" w:line="259" w:lineRule="auto"/>
        <w:rPr>
          <w:sz w:val="20"/>
          <w:szCs w:val="20"/>
          <w:color w:val="auto"/>
        </w:rPr>
      </w:pPr>
      <w:r>
        <w:rPr>
          <w:rFonts w:ascii="Arial" w:cs="Arial" w:eastAsia="Arial" w:hAnsi="Arial"/>
          <w:sz w:val="18"/>
          <w:szCs w:val="18"/>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holders may convert all or any portion of their TLRY 23, in multiples of one thousand dollars principal amount, at the option of the holder regardless of the aforementioned circumstances.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may from time to time seek to retire or purchase its TLRY 23, in open market purchases, privately negotiated transactions or otherwise. Such purchases or exchanges, if any, will depend on prevailing market conditions, the company's liquidity requirements, contractual restrictions and other factors. During the year, the Company purchased $62,500 of principal of its TLRY 23 reducing the carrying value to $126,544. This repurchase resulted in a loss of $82 which was recorded in change in fair value of convertible debentures payable Note 24 (Other non-operating (expense) income).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May 31, 2023, the TLRY 23 is not yet convertible. The convertible notes will become convertible upon the satisfaction of the above circumstances. The remaining unamortized debt discount related to the convertible notes as of May 31, 2023 will be accreted over the remaining term of the TLRY 23, which is approximately 4 months.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31, 2023, the Company was in compliance with all the covenants set forth under the TLRY 23.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May 31, 2023, the Company recognized total interest expense on TLRY 23 of $12,120 (2022 – $18,860, 2021 – $1,585), which included contractual interest coupon of $9,303 (2022 - $14,684, 2021 – 1,158) and amortization of the discount of $2,817 (2022 - $4,176, 2021 – $427).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Warrants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May 31, 2022, 5,994,651 warrants expired with exercise prices between $3.08 and $9.08. As of May 31, 2023, there are 6,209,000 warrants outstanding, with an original exercise price of $5.95 per warrant, expiring March 17, 2025. Each warrant is exercisable for one common share of the Company.</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year ended May 31, 2023, the Company issued shares which triggered the anti-dilution price protection feature lowering the exercise price to $2.66.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6"/>
          <w:szCs w:val="16"/>
          <w:color w:val="auto"/>
        </w:rPr>
        <w:t>The Company estimated the fair value of the warrant liability at May 31, 2023 at $0.49 per warrant using the Black Scholes pricing model (Level</w:t>
      </w:r>
    </w:p>
    <w:p>
      <w:pPr>
        <w:spacing w:after="0" w:line="46" w:lineRule="exact"/>
        <w:rPr>
          <w:sz w:val="20"/>
          <w:szCs w:val="20"/>
          <w:color w:val="auto"/>
        </w:rPr>
      </w:pPr>
    </w:p>
    <w:p>
      <w:pPr>
        <w:ind w:firstLine="8"/>
        <w:spacing w:after="0" w:line="260" w:lineRule="auto"/>
        <w:tabs>
          <w:tab w:leader="none" w:pos="2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following assumptions: Risk-free interest rate of 3.84%, expected volatility of 70%, expected term of 2.3 years, strike price of $2.66 and fair value of common stock of $1.67.</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volatility is based on both historical and implied volatility of the Company’s common stock.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left="160" w:firstLine="648"/>
        <w:spacing w:after="0" w:line="259" w:lineRule="auto"/>
        <w:rPr>
          <w:sz w:val="20"/>
          <w:szCs w:val="20"/>
          <w:color w:val="auto"/>
        </w:rPr>
      </w:pPr>
      <w:r>
        <w:rPr>
          <w:rFonts w:ascii="Arial" w:cs="Arial" w:eastAsia="Arial" w:hAnsi="Arial"/>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Issued and outstanding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May 31, 2023, the Company had 990,000,000 shares authorized to be issued with 656,655,455 shares issued and outstanding, at May 31, 2022 – 743,333,333 and 532,674,887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year-ended May 31, 2023, the Company issued the following shares:</w:t>
      </w:r>
    </w:p>
    <w:p>
      <w:pPr>
        <w:spacing w:after="0" w:line="225" w:lineRule="exact"/>
        <w:rPr>
          <w:sz w:val="20"/>
          <w:szCs w:val="20"/>
          <w:color w:val="auto"/>
        </w:rPr>
      </w:pPr>
    </w:p>
    <w:p>
      <w:pPr>
        <w:ind w:left="560" w:hanging="271"/>
        <w:spacing w:after="0" w:line="277"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32,481,149 shares under its At-the-Market (“ATM”) program for gross proceeds of $132,238. The Company paid $2,645 in commissions and other fees associated with these issuances for net proceeds of $129,593.</w:t>
      </w:r>
    </w:p>
    <w:p>
      <w:pPr>
        <w:spacing w:after="0" w:line="170" w:lineRule="exact"/>
        <w:rPr>
          <w:rFonts w:ascii="Arial" w:cs="Arial" w:eastAsia="Arial" w:hAnsi="Arial"/>
          <w:sz w:val="18"/>
          <w:szCs w:val="18"/>
          <w:color w:val="auto"/>
        </w:rPr>
      </w:pPr>
    </w:p>
    <w:p>
      <w:pPr>
        <w:ind w:left="560" w:hanging="271"/>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33,314,412 shares to purchase the HEXO convertible notes receivable.</w:t>
      </w:r>
    </w:p>
    <w:p>
      <w:pPr>
        <w:spacing w:after="0" w:line="225" w:lineRule="exact"/>
        <w:rPr>
          <w:rFonts w:ascii="Arial" w:cs="Arial" w:eastAsia="Arial" w:hAnsi="Arial"/>
          <w:sz w:val="18"/>
          <w:szCs w:val="18"/>
          <w:color w:val="auto"/>
        </w:rPr>
      </w:pPr>
    </w:p>
    <w:p>
      <w:pPr>
        <w:ind w:left="560" w:hanging="271"/>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16,114,406 shares to settle amounts owed to the non-controlling shareholders of Aphria Diamond in the amount of $60,062.</w:t>
      </w:r>
    </w:p>
    <w:p>
      <w:pPr>
        <w:spacing w:after="0" w:line="225" w:lineRule="exact"/>
        <w:rPr>
          <w:rFonts w:ascii="Arial" w:cs="Arial" w:eastAsia="Arial" w:hAnsi="Arial"/>
          <w:sz w:val="18"/>
          <w:szCs w:val="18"/>
          <w:color w:val="auto"/>
        </w:rPr>
      </w:pPr>
    </w:p>
    <w:p>
      <w:pPr>
        <w:ind w:left="560" w:hanging="271"/>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1,862,080 shares for the exercise of various stock-based compensation awards.</w:t>
      </w:r>
    </w:p>
    <w:p>
      <w:pPr>
        <w:spacing w:after="0" w:line="225" w:lineRule="exact"/>
        <w:rPr>
          <w:rFonts w:ascii="Arial" w:cs="Arial" w:eastAsia="Arial" w:hAnsi="Arial"/>
          <w:sz w:val="18"/>
          <w:szCs w:val="18"/>
          <w:color w:val="auto"/>
        </w:rPr>
      </w:pPr>
    </w:p>
    <w:p>
      <w:pPr>
        <w:ind w:left="560" w:hanging="271"/>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1,708,521 shares issued to acquire Montauk Brewing Company Inc.</w:t>
      </w:r>
    </w:p>
    <w:p>
      <w:pPr>
        <w:spacing w:after="0" w:line="225" w:lineRule="exact"/>
        <w:rPr>
          <w:sz w:val="20"/>
          <w:szCs w:val="20"/>
          <w:color w:val="auto"/>
        </w:rPr>
      </w:pPr>
    </w:p>
    <w:p>
      <w:pPr>
        <w:ind w:left="560" w:hanging="271"/>
        <w:spacing w:after="0" w:line="277"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38,500,000 shares issued as part of a share lending agreement with an affiliate of Jefferies LLC in connection with the registered offering of $150 Million of unsecured convertible senior notes (TLRY 27).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May 31, 2023, the total stock-based compensation expense was $39,595 (2022 - $35,994 and 2021- $17,351). The Company operates multiple stock-based award plans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Tilray 2018 Equity Incentive Plan and Original Plan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2018 Equity Incentive Plan (EIP) authorizes the award of stock options, restricted stock units (“RSUs”) and stock appreciation rights (“SARs”) to employees, including officers, non-employee directors and consultants and the employees and consultants of our affiliates. Shares subject to awards granted under the EIP that expire or terminate without being exercised in full, or that are paid out in cash rather than in shares, do not reduce the number of shares available for issuance under the EIP. Additionally, shares become available for future grant under the EIP if they were issued under the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EIP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3" w:name="page104"/>
    <w:bookmarkEnd w:id="103"/>
    <w:p>
      <w:pPr>
        <w:jc w:val="both"/>
        <w:ind w:firstLine="648"/>
        <w:spacing w:after="0" w:line="301" w:lineRule="auto"/>
        <w:rPr>
          <w:sz w:val="20"/>
          <w:szCs w:val="20"/>
          <w:color w:val="auto"/>
        </w:rPr>
      </w:pPr>
      <w:r>
        <w:rPr>
          <w:rFonts w:ascii="Arial" w:cs="Arial" w:eastAsia="Arial" w:hAnsi="Arial"/>
          <w:sz w:val="16"/>
          <w:szCs w:val="16"/>
          <w:color w:val="auto"/>
        </w:rPr>
        <w:t>Stock options represent the right to purchase shares of our common stock on the date of exercise at a stated exercise price. The exercise price of a stock option generally must be at least equal to the fair market value of our shares of common stock on the date of grant. The Company’s compensation committee may provide for stock options to be exercised only as they vest or to be immediately exercisable with any shares issued on exercise being subject to the Company’s right of repurchase that lapses as the shares vest. The maximum term of stock options granted under the EIP is ten years.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RSUs represent a right to receive common stock or their cash equivalent for each RSU that vests, which vesting may be based on time or achievement of performance conditions. Unless otherwise determined by our compensation committee at the time of grant, vesting will cease on the date the participant no longer provides services to the Company and unvested shares will be forfeited. If an RSU has not been forfeited, then on the date specified in the RSUs, the Company will deliver to the holder a number of whole shares of common stock, cash or a combination of shares of our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SARs provide for a payment, or payments, in cash or shares of common stock to the holder based upon the difference between the fair market value of shares of our common stock on the date of exercise and the stated exercise price. The maximum term of SARs granted under the EIP is ten years. No SARs were issued to date.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EIP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April 30, 2021, 9,806,851 shares of common stock had been reserved for issuance under the EIP. The number of shares of common stock reserved for issuance under the 2018 EIP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employees and other service providers of the Company participate in the equity-based compensation plan of Privateer Holdings, Inc (the “Original Plan”) under the terms and valuation method detailed below. 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stock options were granted under the EIP during the year ended May 31, 2023 and 2022. For the year ended May 31, 2021, the fair value of each stock option granted is estimated on grant date using the Black-Scholes option pricing model using the following assumptions: risk-free rate for 2.10% on the date of grant; expected life of 8.97 years; volatility of 61.33% based on comparable companies; dividend yield of $nil; and, the exercise price of the respective option. The expected life of the award is estimated using the simplified method since the Company does not have adequate historical exercise data to estimate the expected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Stock-based activity under the EIP and Original Plan for the year ended May 31, 2023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i w:val="1"/>
                <w:iCs w:val="1"/>
                <w:color w:val="auto"/>
              </w:rPr>
              <w:t>EIP Time-based stock option activity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exercise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price</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term (years)</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31, 2022</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2,881,749</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(72,551)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Balance, May 31, 2023</w:t>
            </w:r>
          </w:p>
        </w:tc>
        <w:tc>
          <w:tcPr>
            <w:tcW w:w="1120" w:type="dxa"/>
            <w:vAlign w:val="bottom"/>
          </w:tcPr>
          <w:p>
            <w:pPr>
              <w:jc w:val="right"/>
              <w:spacing w:after="0"/>
              <w:rPr>
                <w:sz w:val="20"/>
                <w:szCs w:val="20"/>
                <w:color w:val="auto"/>
              </w:rPr>
            </w:pPr>
            <w:r>
              <w:rPr>
                <w:rFonts w:ascii="Arial" w:cs="Arial" w:eastAsia="Arial" w:hAnsi="Arial"/>
                <w:sz w:val="18"/>
                <w:szCs w:val="18"/>
                <w:color w:val="auto"/>
              </w:rPr>
              <w:t>2,809,198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i w:val="1"/>
                <w:iCs w:val="1"/>
                <w:color w:val="auto"/>
              </w:rPr>
              <w:t>Original plan time-based stock option activity</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price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 (years)</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31, 2022</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92,777</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31, 2023</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960" w:type="dxa"/>
            <w:vAlign w:val="bottom"/>
          </w:tcPr>
          <w:p>
            <w:pPr>
              <w:spacing w:after="0"/>
              <w:rPr>
                <w:sz w:val="20"/>
                <w:szCs w:val="20"/>
                <w:color w:val="auto"/>
              </w:rPr>
            </w:pPr>
            <w:r>
              <w:rPr>
                <w:rFonts w:ascii="Arial" w:cs="Arial" w:eastAsia="Arial" w:hAnsi="Arial"/>
                <w:sz w:val="18"/>
                <w:szCs w:val="18"/>
                <w:i w:val="1"/>
                <w:iCs w:val="1"/>
                <w:color w:val="auto"/>
              </w:rPr>
              <w:t>EIP Time-based RSU activity</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grant-date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Time-based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fair value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 share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term (years)</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31, 2022</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6,710,780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8,639,739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(2,081,268)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(1,130,559)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Balance, May 31, 2023</w:t>
            </w:r>
          </w:p>
        </w:tc>
        <w:tc>
          <w:tcPr>
            <w:tcW w:w="1120" w:type="dxa"/>
            <w:vAlign w:val="bottom"/>
          </w:tcPr>
          <w:p>
            <w:pPr>
              <w:jc w:val="right"/>
              <w:spacing w:after="0"/>
              <w:rPr>
                <w:sz w:val="20"/>
                <w:szCs w:val="20"/>
                <w:color w:val="auto"/>
              </w:rPr>
            </w:pPr>
            <w:r>
              <w:rPr>
                <w:rFonts w:ascii="Arial" w:cs="Arial" w:eastAsia="Arial" w:hAnsi="Arial"/>
                <w:sz w:val="18"/>
                <w:szCs w:val="18"/>
                <w:color w:val="auto"/>
              </w:rPr>
              <w:t>12,138,692</w:t>
            </w: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Plan - Aphria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Aphria had established the Aphria Omnibus Incentive Plan (the “Predecessor Plan”). Following stockholder approval of the EIP, no new awards have been granted under the Predecessor Plan. In connection with the reverse acquisition Aphria stock options, Aphria RSUs and DSUs issued under the Predecessor Plan were exchanged for options, RSUs under the EIP. As a result of the modification, all grantees were affected, and the Company recognized nil incremental compensation cost.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fair value of each stock option granted under the Predecessor Plan is estimated on grant date using the Black-Scholes option pricing model using the following assumptions: risk-free rate for 2021 of 0.39% and 2020 of 1.20 – 1.56% on the date of grant; expected life for 2021 of 5 years and 2020 of 5 years; volatility for 2021 of 70% and 2020 of 70%) based on comparable companies; forfeiture rate for 2021 of 35% and 2020 of 20%; dividend yield for 2021 of $nil and 2020 of $nil); and, the exercise price of the respective option. The expected life of the award is estimated using the simplified method since the Company does not have adequate historical exercise data to estimate the expected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Stock option, RSU and DSU activity for the Company under the Predecessor Plan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Time-based stock option activity</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May 31, 2023</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12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3"/>
              </w:rPr>
              <w:t>grant</w:t>
            </w:r>
          </w:p>
        </w:tc>
        <w:tc>
          <w:tcPr>
            <w:tcW w:w="2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remaining</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4"/>
              </w:rPr>
              <w:t>date fair</w:t>
            </w:r>
          </w:p>
        </w:tc>
        <w:tc>
          <w:tcPr>
            <w:tcW w:w="2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term (years)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r>
      <w:tr>
        <w:trPr>
          <w:trHeight w:val="210"/>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May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112.24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color w:val="auto"/>
              </w:rPr>
              <w:t>Balance, May 31, 2023</w:t>
            </w:r>
          </w:p>
        </w:tc>
        <w:tc>
          <w:tcPr>
            <w:tcW w:w="1120" w:type="dxa"/>
            <w:vAlign w:val="bottom"/>
          </w:tcPr>
          <w:p>
            <w:pPr>
              <w:jc w:val="right"/>
              <w:spacing w:after="0"/>
              <w:rPr>
                <w:sz w:val="20"/>
                <w:szCs w:val="20"/>
                <w:color w:val="auto"/>
              </w:rPr>
            </w:pPr>
            <w:r>
              <w:rPr>
                <w:rFonts w:ascii="Arial" w:cs="Arial" w:eastAsia="Arial" w:hAnsi="Arial"/>
                <w:sz w:val="18"/>
                <w:szCs w:val="18"/>
                <w:color w:val="auto"/>
              </w:rPr>
              <w:t>1,706,627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tcBorders>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May 31, 2023</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1,706,627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60.75</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72"/>
        </w:trPr>
        <w:tc>
          <w:tcPr>
            <w:tcW w:w="66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i w:val="1"/>
                <w:iCs w:val="1"/>
                <w:color w:val="auto"/>
                <w:w w:val="99"/>
              </w:rPr>
              <w:t>Time-based and Performance-based RSU activity</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990"/>
              <w:spacing w:after="0"/>
              <w:rPr>
                <w:sz w:val="20"/>
                <w:szCs w:val="20"/>
                <w:color w:val="auto"/>
              </w:rPr>
            </w:pPr>
            <w:r>
              <w:rPr>
                <w:rFonts w:ascii="Arial" w:cs="Arial" w:eastAsia="Arial" w:hAnsi="Arial"/>
                <w:sz w:val="18"/>
                <w:szCs w:val="18"/>
                <w:b w:val="1"/>
                <w:bCs w:val="1"/>
                <w:color w:val="auto"/>
              </w:rPr>
              <w:t>May 31, 2023</w:t>
            </w:r>
          </w:p>
        </w:tc>
        <w:tc>
          <w:tcPr>
            <w:tcW w:w="10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grant -</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date fair</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Time- based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value per</w:t>
            </w:r>
          </w:p>
        </w:tc>
        <w:tc>
          <w:tcPr>
            <w:tcW w:w="1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91"/>
              </w:rPr>
              <w:t>RSUs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r>
      <w:tr>
        <w:trPr>
          <w:trHeight w:val="210"/>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May 31, 2022</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(15,511)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r>
      <w:tr>
        <w:trPr>
          <w:trHeight w:val="250"/>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May 31, 2023</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includes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loss 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currency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convertible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notes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receivables</w:t>
            </w: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May 31, 2020</w:t>
            </w:r>
          </w:p>
        </w:tc>
        <w:tc>
          <w:tcPr>
            <w:tcW w:w="2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Settlement of convertible notes receivable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Balance May 31, 2021</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(3,749)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Balance May 31, 2022</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(75,177)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(20,764)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Other comprehensive (loss) reversal</w:t>
            </w:r>
          </w:p>
        </w:tc>
        <w:tc>
          <w:tcPr>
            <w:tcW w:w="2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(101,023)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75,177</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(25,846)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Balance May 31, 2023</w:t>
            </w:r>
          </w:p>
        </w:tc>
        <w:tc>
          <w:tcPr>
            <w:tcW w:w="22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(46,610)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(46,610)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40" w:type="dxa"/>
            <w:vAlign w:val="bottom"/>
            <w:vMerge w:val="restart"/>
          </w:tcPr>
          <w:p>
            <w:pPr>
              <w:jc w:val="right"/>
              <w:ind w:right="450"/>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21. Non-controlling interests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the information relating to the Company’s majority-owned subsidiaries, CC Pharma Nordic ApS (75%), Aphria Diamond (51%), ColCanna S.A.S. (90%), and SH Acquisition (68%) before intercompany eliminations.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balance sheet information of the entities in which there is a non-controlling interest as at May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CC Pharma</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Aphria</w:t>
            </w: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ColCanna</w:t>
            </w: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Acquisition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Nordic ApS</w:t>
            </w: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Diamond</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S.A.S.</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128,027</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213,073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(150,417)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(53,197)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(54,625)</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balance sheet information of the entities in which there is a non-controlling interest as at May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CC Pharma</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Aphria</w:t>
            </w: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ColCanna</w:t>
            </w: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Acquisition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Nordic ApS</w:t>
            </w: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Diamond</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S.A.S.</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357,882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(29,653)</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(36,600)</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278,615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Summarized income statement information of the entities in which there is a non-controlling interest for the year ended May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SH</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CC Pharma</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ColCanna</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Nordic ApS</w:t>
            </w:r>
          </w:p>
        </w:tc>
        <w:tc>
          <w:tcPr>
            <w:tcW w:w="1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Diamond</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161,453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161,580</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85,460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57,293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250,798</w:t>
            </w:r>
          </w:p>
        </w:tc>
        <w:tc>
          <w:tcPr>
            <w:tcW w:w="100" w:type="dxa"/>
            <w:vAlign w:val="bottom"/>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(107,297)</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(57,292)</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(89,218)</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70,778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(34,643)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35,153</w:t>
            </w:r>
          </w:p>
        </w:tc>
        <w:tc>
          <w:tcPr>
            <w:tcW w:w="100" w:type="dxa"/>
            <w:vAlign w:val="bottom"/>
          </w:tcPr>
          <w:p>
            <w:pPr>
              <w:spacing w:after="0"/>
              <w:rPr>
                <w:sz w:val="18"/>
                <w:szCs w:val="18"/>
                <w:color w:val="auto"/>
              </w:rPr>
            </w:pP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75,032</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(91,935)</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NA</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NCI</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26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Additional income attributable to NCI</w:t>
            </w:r>
          </w:p>
        </w:tc>
        <w:tc>
          <w:tcPr>
            <w:tcW w:w="1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11,421</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Pr>
          <w:p>
            <w:pPr>
              <w:spacing w:after="0"/>
              <w:rPr>
                <w:sz w:val="18"/>
                <w:szCs w:val="18"/>
                <w:color w:val="auto"/>
              </w:rPr>
            </w:pPr>
          </w:p>
        </w:tc>
      </w:tr>
      <w:tr>
        <w:trPr>
          <w:trHeight w:val="25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 attributable to NCI</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48,187</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7"/>
          <w:szCs w:val="17"/>
          <w:color w:val="auto"/>
        </w:rPr>
        <w:t>Summarized income statement information of the entities in which there is a non-controlling interest for the year ended May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SH</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CC Pharma</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ColCanna</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Nordic ApS</w:t>
            </w:r>
          </w:p>
        </w:tc>
        <w:tc>
          <w:tcPr>
            <w:tcW w:w="1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Diamond</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148,677</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(11,180)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77,057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66,382</w:t>
            </w:r>
          </w:p>
        </w:tc>
        <w:tc>
          <w:tcPr>
            <w:tcW w:w="10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11,180</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(70,778)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(2,353)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(4,737)</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(77,821)</w:t>
            </w: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(59,598)</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4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(19,071)</w:t>
            </w: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Summarized income statement information of the entities in which there is a non-controlling interest for the year ended May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CC Pharma</w:t>
            </w:r>
          </w:p>
        </w:tc>
        <w:tc>
          <w:tcPr>
            <w:tcW w:w="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Aphria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5"/>
              </w:rPr>
              <w:t>ColCanna</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Nordic ApS</w:t>
            </w:r>
          </w:p>
        </w:tc>
        <w:tc>
          <w:tcPr>
            <w:tcW w:w="80" w:type="dxa"/>
            <w:vAlign w:val="bottom"/>
          </w:tcPr>
          <w:p>
            <w:pPr>
              <w:spacing w:after="0"/>
              <w:rPr>
                <w:sz w:val="20"/>
                <w:szCs w:val="20"/>
                <w:color w:val="auto"/>
              </w:rPr>
            </w:pPr>
          </w:p>
        </w:tc>
        <w:tc>
          <w:tcPr>
            <w:tcW w:w="12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Diamond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S.A.S.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131,381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132,208</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expenses (recovery)</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68,911</w:t>
            </w:r>
          </w:p>
        </w:tc>
        <w:tc>
          <w:tcPr>
            <w:tcW w:w="100" w:type="dxa"/>
            <w:vAlign w:val="bottom"/>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63,297</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Non-controlling interest %</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49"/>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 income</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31,532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(92)</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56"/>
        </w:trPr>
        <w:tc>
          <w:tcPr>
            <w:tcW w:w="4120" w:type="dxa"/>
            <w:vAlign w:val="bottom"/>
          </w:tcPr>
          <w:p>
            <w:pPr>
              <w:spacing w:after="0"/>
              <w:rPr>
                <w:sz w:val="20"/>
                <w:szCs w:val="20"/>
                <w:color w:val="auto"/>
              </w:rPr>
            </w:pPr>
            <w:r>
              <w:rPr>
                <w:rFonts w:ascii="Arial" w:cs="Arial" w:eastAsia="Arial" w:hAnsi="Arial"/>
                <w:sz w:val="18"/>
                <w:szCs w:val="18"/>
                <w:b w:val="1"/>
                <w:bCs w:val="1"/>
                <w:color w:val="auto"/>
              </w:rPr>
              <w:t>22. Net revenue</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20" w:type="dxa"/>
            <w:vAlign w:val="bottom"/>
          </w:tcPr>
          <w:p>
            <w:pPr>
              <w:ind w:left="660"/>
              <w:spacing w:after="0"/>
              <w:rPr>
                <w:sz w:val="20"/>
                <w:szCs w:val="20"/>
                <w:color w:val="auto"/>
              </w:rPr>
            </w:pPr>
            <w:r>
              <w:rPr>
                <w:rFonts w:ascii="Arial" w:cs="Arial" w:eastAsia="Arial" w:hAnsi="Arial"/>
                <w:sz w:val="18"/>
                <w:szCs w:val="18"/>
                <w:color w:val="auto"/>
              </w:rPr>
              <w:t>Net revenue is comprised of:</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1"/>
          </w:tcPr>
          <w:p>
            <w:pPr>
              <w:jc w:val="right"/>
              <w:ind w:right="260"/>
              <w:spacing w:after="0"/>
              <w:rPr>
                <w:sz w:val="20"/>
                <w:szCs w:val="20"/>
                <w:color w:val="auto"/>
              </w:rPr>
            </w:pPr>
            <w:r>
              <w:rPr>
                <w:rFonts w:ascii="Arial" w:cs="Arial" w:eastAsia="Arial" w:hAnsi="Arial"/>
                <w:sz w:val="18"/>
                <w:szCs w:val="18"/>
                <w:b w:val="1"/>
                <w:bCs w:val="1"/>
                <w:color w:val="auto"/>
              </w:rPr>
              <w:t>For the year ended May 31,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Cannabis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284,314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264,334</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Cannabis excise taxes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w w:val="95"/>
              </w:rPr>
              <w:t>(63,884)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(62,942)</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cannabis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220,430</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Beverage alcohol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100,679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29,661</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Beverage alcohol excise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(5,586)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w:t>
            </w:r>
          </w:p>
        </w:tc>
      </w:tr>
      <w:tr>
        <w:trPr>
          <w:trHeight w:val="210"/>
        </w:trPr>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beverage alcohol revenue</w:t>
            </w:r>
          </w:p>
        </w:tc>
        <w:tc>
          <w:tcPr>
            <w:tcW w:w="1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95,093</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71,492</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tcBorders>
              <w:top w:val="single" w:sz="8" w:color="CCEEFF"/>
            </w:tcBorders>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258,770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Wellness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52,831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8"/>
                <w:szCs w:val="18"/>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627,124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628,372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1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23. Cost of goods sold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rPr>
              <w:t>Cost of goods sold is comprised of:</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Cannabis costs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Beverage alcohol costs</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48,770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Distribution costs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231,309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243,231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242,472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Wellness costs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37,330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8"/>
                <w:szCs w:val="18"/>
                <w:color w:val="auto"/>
              </w:rPr>
            </w:pPr>
          </w:p>
        </w:tc>
      </w:tr>
      <w:tr>
        <w:trPr>
          <w:trHeight w:val="24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480,164</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389,903</w:t>
            </w:r>
          </w:p>
        </w:tc>
        <w:tc>
          <w:tcPr>
            <w:tcW w:w="100" w:type="dxa"/>
            <w:vAlign w:val="bottom"/>
            <w:shd w:val="clear" w:color="auto" w:fill="CCEEFF"/>
          </w:tcPr>
          <w:p>
            <w:pPr>
              <w:spacing w:after="0"/>
              <w:rPr>
                <w:sz w:val="21"/>
                <w:szCs w:val="21"/>
                <w:color w:val="auto"/>
              </w:rPr>
            </w:pPr>
          </w:p>
        </w:tc>
      </w:tr>
      <w:tr>
        <w:trPr>
          <w:trHeight w:val="656"/>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24. General and administrative expenses</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w w:val="94"/>
              </w:rPr>
              <w:t>General and administrative expenses are comprised of the following items: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Office and general</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27,845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19,503</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Salaries and wages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39,595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17,351</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capital assets</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Insurance proceeds</w:t>
            </w:r>
          </w:p>
        </w:tc>
        <w:tc>
          <w:tcPr>
            <w:tcW w:w="3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(4,032)</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Travel and accommodation</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165,159</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111,575</w:t>
            </w:r>
          </w:p>
        </w:tc>
        <w:tc>
          <w:tcPr>
            <w:tcW w:w="100" w:type="dxa"/>
            <w:vAlign w:val="bottom"/>
            <w:shd w:val="clear" w:color="auto" w:fill="CCEEFF"/>
          </w:tcPr>
          <w:p>
            <w:pPr>
              <w:spacing w:after="0"/>
              <w:rPr>
                <w:sz w:val="21"/>
                <w:szCs w:val="21"/>
                <w:color w:val="auto"/>
              </w:rPr>
            </w:pPr>
          </w:p>
        </w:tc>
      </w:tr>
      <w:tr>
        <w:trPr>
          <w:trHeight w:val="656"/>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25. Interest expense, net</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rPr>
              <w:t>Interest expense, net is comprised of:</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(46,612)</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(39,680)</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(30,903)</w:t>
            </w: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6300" w:type="dxa"/>
            <w:vAlign w:val="bottom"/>
          </w:tcPr>
          <w:p>
            <w:pPr>
              <w:ind w:left="548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26. Non-operating (expense) income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rPr>
              <w:t>Non-operating (expense) income is comprised of:</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debenture payable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(170,453)</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(28,383)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(22,347)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(6,737)</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(losses) gains,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100" w:type="dxa"/>
            <w:vAlign w:val="bottom"/>
            <w:shd w:val="clear" w:color="auto" w:fill="CCEEFF"/>
          </w:tcPr>
          <w:p>
            <w:pPr>
              <w:spacing w:after="0"/>
              <w:rPr>
                <w:sz w:val="18"/>
                <w:szCs w:val="18"/>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(66,909)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197,671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(184,838)</w:t>
            </w: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 w:right="520"/>
        <w:spacing w:after="0" w:line="277" w:lineRule="auto"/>
        <w:rPr>
          <w:sz w:val="20"/>
          <w:szCs w:val="20"/>
          <w:color w:val="auto"/>
        </w:rPr>
      </w:pPr>
      <w:r>
        <w:rPr>
          <w:rFonts w:ascii="Arial" w:cs="Arial" w:eastAsia="Arial" w:hAnsi="Arial"/>
          <w:sz w:val="18"/>
          <w:szCs w:val="18"/>
          <w:color w:val="auto"/>
        </w:rPr>
        <w:t>Other non-operating (losses) gains, net for the year ended May 31, 2023, includes amounts to settle outstanding notes with non-controlling interest shareholders.</w:t>
      </w:r>
    </w:p>
    <w:p>
      <w:pPr>
        <w:spacing w:after="0" w:line="200" w:lineRule="exact"/>
        <w:rPr>
          <w:sz w:val="20"/>
          <w:szCs w:val="20"/>
          <w:color w:val="auto"/>
        </w:rPr>
      </w:pPr>
    </w:p>
    <w:p>
      <w:pPr>
        <w:spacing w:after="0" w:line="209" w:lineRule="exact"/>
        <w:rPr>
          <w:sz w:val="20"/>
          <w:szCs w:val="20"/>
          <w:color w:val="auto"/>
        </w:rPr>
      </w:pPr>
    </w:p>
    <w:p>
      <w:pPr>
        <w:ind w:left="660" w:right="8180" w:hanging="652"/>
        <w:spacing w:after="0" w:line="566" w:lineRule="auto"/>
        <w:tabs>
          <w:tab w:leader="none" w:pos="32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Purchase and other commitments</w:t>
      </w:r>
    </w:p>
    <w:p>
      <w:pPr>
        <w:jc w:val="both"/>
        <w:ind w:firstLine="648"/>
        <w:spacing w:after="0" w:line="277" w:lineRule="auto"/>
        <w:rPr>
          <w:sz w:val="20"/>
          <w:szCs w:val="20"/>
          <w:color w:val="auto"/>
        </w:rPr>
      </w:pPr>
      <w:r>
        <w:rPr>
          <w:rFonts w:ascii="Arial" w:cs="Arial" w:eastAsia="Arial" w:hAnsi="Arial"/>
          <w:sz w:val="18"/>
          <w:szCs w:val="18"/>
          <w:color w:val="auto"/>
        </w:rPr>
        <w:t>The Company has payments on long-term debt (refer to Note 16 Long-term debt), convertible notes (refer to Note 17 Convertible Debentures), material purchase commitments and construction commitments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Thereafter</w:t>
            </w:r>
          </w:p>
        </w:tc>
        <w:tc>
          <w:tcPr>
            <w:tcW w:w="100" w:type="dxa"/>
            <w:vAlign w:val="bottom"/>
          </w:tcPr>
          <w:p>
            <w:pPr>
              <w:spacing w:after="0"/>
              <w:rPr>
                <w:sz w:val="20"/>
                <w:szCs w:val="20"/>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71,099</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464,070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177,330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136,740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8,410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156,088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Class Action Suits and Stockholder Derivative Suits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 xml:space="preserve">Approved Settlement of Tilray Brands, Inc. Reorganization Litigation (Delaware, New York)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Special Litigation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4, 2020, the Delaware Court of Chancery entered an order consolidating the two cases and designating the complaint in the Braun/Noorian action as the operative complaint. The operative complaint asserts claims for breach of fiduciary duty against Brendan Kennedy, Christian Groh, Michael Blue, and Privateer Evolution, LLC (the “Privateer Defendants”) for alleged breaches of fiduciary duty in their alleged capacities as Tilray’s controlling stockholders and against Kennedy, Maryscott Greenwood, and Michael Auerbach for alleged breaches of fiduciary duties in their capacities as directors and/or officers of Tilray in connection with the prior merger of Privateer Holdings, Inc. with and into a wholly owned subsidiary (the “Downstream Merger”). 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August 2021, the Company’s Board of Directors established a Special Litigation Committee (the “SLC”) of independent directors to re-assert director control and investigate the derivative claims in this litigation matter. The SLC has appointed the law firm Wilson Sonsini to assist the SLC with an ongoing investigation of the underlying claim and determine whether continued prosecution of such claims was in the best interests of the Company.</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27, 2022, the SLC informed the Court that it had completed its investigation; determined not to seek dismissal of the Action; and confirmed its determination that the Company had suffered significant damages and that the SLC would pursue claims to recover appropriate amounts for the Company's benefit. Thereafter, the SLC, all of the Defendants, and certain non-parties participated in two mediation sessions before former Chancellor of the Delaware Court of Chancery Andre G. Bouchard.</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July 15, 2022, the SLC reached an agreement in principle with Defendants and certain of the non-parties, and their respective insurers, to resolve the claims asserted in the Action in exchange for an aggregate amount of $26,900 to be paid to Tilray plus mutual releases. The SLC subsequently reached further agreement with an additional non-party and plaintiffs to settle the entire Action. On December 20, 2022, the parties submitted a Stipulation and Agreement of Compromise, Settlement, and Release (“Settlement Stipulation”) to the Court for approval which provides for, among other things, an aggregate cash amount of $39,900 to be paid to Tilray and mutual releases. A hearing to approve the Settlement Stipulation was held on February 27, 2023, and was formally approved by the Court shortly thereafter. Tilray received the settlement proceeds following such approval. Plaintiffs' counsel was awarded fees equal to $6,500. Tilray stockholders did not receive any direct payment from the Settlement Stipulation.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b w:val="1"/>
          <w:bCs w:val="1"/>
          <w:i w:val="1"/>
          <w:iCs w:val="1"/>
          <w:color w:val="auto"/>
        </w:rPr>
        <w:t>Authentic Brands Group Related Class Action (New York, 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w:t>
      </w:r>
    </w:p>
    <w:p>
      <w:pPr>
        <w:spacing w:after="0" w:line="1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September 27, 2021, the U.S. District Court entered an Opinion &amp; Order granting the Defendants’ motion to dismiss the complaint in the Kasilingam litigation without prejudice. On December 3, 2021, the lead plaintiff filed a second amended complaint alleging similar claims against Tilray and Brendan Kennedy. The defendants moved to dismiss the amended complaint on February 2, 2022. On September 28, 2022, the Court granted in part and denied in part the defendants’ motion to dismiss the second amended complaint. On October 12, 2022, the Company filed a motion for reconsideration and/or interlocutory appeal of this Court decision which remain pending.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Aphria Inc. Securities Litigation (New York, United States)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5, 2018, a putative securities class action was commenced in SDNY against Aphria and certain current and former officers and directors. The action claims that the defendants misrepresented the value of three cannabis-producing properties Aphria acquired in Jamaica, Colombia, and Argentina (the “LATAM Assets”). On December 3, 2018, two notorious short-sellers issued a report about the acquisitions, claiming the LATAM Assets were non-functional or non-existent, which allegedly caused Aphria’s stock price to fall. On April 15, 2019, Aphria took impairment charges on the LATAM Assets, which also allegedly caused Aphria’s stock price to decline. The putative class action claims that Aphria artificially inflated the price of its publicly-traded stock by making false statements about the LATAM Assets, and when the purported truth was revealed by a short-seller report and write-down, the stock price declined, harming investors.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30, 2020, the Court denied the motion to dismiss the complaint as to Aphria, Vic Neufeld, and Carl Merton, and granted the motion as to Cole Cacciavillani, John Cervini, Andrew DeFrancesco, and SOL Global Investments. On October 1, 2020, Plaintiffs moved for reconsideration of the order dismissing DeFrancesco and SOL or, in the alternative, to amend their complaint. On October 14, 2020, Aphria, Neufeld, and Merton moved for reconsideration of the order denying their motion to dismiss.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September 29, 2021, the U.S. District Court issued an Order that (i) permitted the plaintiffs to amend their lawsuit to revive the claims against Andy DeFrancecso; and (ii) declined to revisit his decision that claims could proceed against Aphria/Tilray, Vic Neufeld, and Carl Merton. Plaintiffs declined to amend their complaint, however, and so the action is proceeding solely against Aphria/Tilray, Neufeld, and Merton. On December 5, 2022, the parties engaged in a mediation session with an independent mediator. However, no settlement agreement was reached.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too early to determine any potential damages from this proceeding. The Company and the individual defendants believe the claims are without merit, and intend to vigorously defend against the claims, but there can be no assurances as to the outcome.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LATAM and Nuuvera Class Actions and Individual Actions (Canada)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29, 2018, Aphria announced the acquisition of Nuuvera Inc. On July 17, 2018, Aphria announced a planned expansion into Latin America and the Caribbean with the acquisition of LATAM Holdings Inc. The following class actions and four individual proceedings have been commenced in Canada against Aphria and several current or former officers relating to the Nuuvera and LATAM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2" w:name="page113"/>
    <w:bookmarkEnd w:id="112"/>
    <w:p>
      <w:pPr>
        <w:jc w:val="both"/>
        <w:ind w:left="1140" w:hanging="646"/>
        <w:spacing w:after="0" w:line="255"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proposed class action (the "Vecchio Action") commenced in the Ontario Superior Court in February 2019, and amended thereafter, alleging statutory and common law misrepresentations and oppression relating to the Nuuvera and LATAM transactions. The Vecchio Action names Aphria, Merton, Neufeld, Cacciavillani and 5 underwriters as defendants;</w:t>
      </w:r>
    </w:p>
    <w:p>
      <w:pPr>
        <w:spacing w:after="0" w:line="2" w:lineRule="exact"/>
        <w:rPr>
          <w:rFonts w:ascii="Arial" w:cs="Arial" w:eastAsia="Arial" w:hAnsi="Arial"/>
          <w:sz w:val="18"/>
          <w:szCs w:val="18"/>
          <w:color w:val="auto"/>
        </w:rPr>
      </w:pPr>
    </w:p>
    <w:p>
      <w:pPr>
        <w:jc w:val="both"/>
        <w:ind w:left="1140" w:hanging="646"/>
        <w:spacing w:after="0" w:line="255"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four individual actions (the "Individual Actions") commenced by Wan, Bergerson, Landry, and Profinsys in the Ontario Superior Court alleging statutory and common law misrepresentations relating to the LATAM and Nuuvera transactions. The Individual Actions name Aphria, Merton, Neufeld, and Cacciavillani as defendants.</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Vecchio Action a motion for certification and leave was heard. For Reasons for Decision released August 6, 2021, and with the consent of Aphria and the individually named Defendants, the Court granted leave to proceed with the secondary market statutory cause of action, and certified the Action on behalf of a defined class of purchasers. Also, on consent, the Court dismissed the claims of oppression and common law misrepresentation against Aphria and the individual defendants, as well as all claims against Carl Merton. The Court granted certification of the primary market statutory cause of action against all remaining Defendants but made it conditional on a successful motion by the Plaintiff to have the Court appoint a second Plaintiff for that aspect of the Claim. The defendant underwriters are appealing one term of that final aspect of the Court's decision. We continue to believe that these claims are without merit and plan to vigorously defend against this action.</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Langevin Canada Class Action Regarding Alleged Mislabled Products (Alberta, Canada)</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16, 2020, Lisa Langevin commenced a purported class action against Tilray, Aphria, and Broken Coast Cannabis Ltd. (a subsidiary of Aphria) in the Alberta Court of Queen’s Bench, on her behalf and on behalf of a proposed class of all medicinal and recreational users in Canada of the defendants’ cannabis products who consumed the products before their expiry date. The plaintiff alleges that the defendants marketed medicinal and recreational cannabis products in circumstances where the defendants misrepresented the amount of Tetrahydrocannabinol or Cannabidiol in certain of their respective products. The plaintiff claims that as a result of the alleged mislabeling, the plaintiff and proposed class members did not receive and consume the product that they believed they had purchased causing them loss, risk of injury and actual injury. The plaintiff seeks $500,000 in damages and restitution and $5,000 in punitive damages plus interest and costs collectively from the defendants. On July 20, 2020, plaintiff filed an Amended Statement of Claim, and on December 4, 2020 filed a Third Amended Statement of Claim. The application by the defendants to be relieved from the obligation to file a Statement of Defense was argued before the case management justice on June 1, 2021, and a decision is under reserve. The Company believes the claims are without merit, and intends to vigorously defend against them, but there can be no assurances as to the outcome.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Related to 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420 Investments Ltd. Litigation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February 21, 2020, 420 Investments Ltd., as Plaintiff (“420 Investments”), filed a lawsuit against Tilray Brands, Inc. and High Park Shops Inc. (“High Park”), as Defendants, in Calgary, Alberta in the Court of Queen’s Bench of Alberta. In August 2019, Tilray and High Park entered into an Arrangement Agreement with 420 Investments and others (the “Agreement”). Pursuant to the Agreement, High Park was to acquire the securities of 420 Investments. In February 2020, Tilray and High Park gave notice of termination of the Agreement. 420 Investments alleges that the termination was unlawful and without merit and further alleges that the Defendants had no legal basis to terminate. 420 Investments alleges that the Defendants did not meet their contractual and good faith obligations under the Agreement. 420 Investment seeks damages in the stated amount of C$110,000, plus C$20,000 in aggravated damages. The Tilray and High Park Statement of Defense and counterclaim were both filed on March 20, 2020. 420 Investment’s Statement of Defense to our counterclaim was filed on April 20, 2020. Respectively, 420 Investments and Tilray / High Park served each other with their Affidavits of Records (“AOR”) on August 25, 2020 and November 30, 2020. Tilray and High Park cross-examined the litigation representative of 420 Investments about its AOR with 420 Investments producing supplemental documents in August 2021 and 2022. Additional discovery may take place in the Fall of 2023. In February 2023, Tilray and High Park filed an Application for Summary Judgment to collect an unpaid C$7,000 bridge loan made to 420 Investments on August 28, 2019, relating to the subject transaction. That debt was repayable in March 2020, but was never repaid. The application is pending and a decision from the Court is expected in September or October 2023. No trial date has been set. The Company denies the Plaintiff’s allegations and intends to vigorously defend this litigation matter, although there can be no assurance as to its outcome.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b w:val="1"/>
          <w:bCs w:val="1"/>
          <w:i w:val="1"/>
          <w:iCs w:val="1"/>
          <w:color w:val="auto"/>
        </w:rPr>
        <w:t>Docklight Litigation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5, 2021 Docklight Brands, Inc. (“Docklight”) filed a complaint against the Company and its wholly-owned subsidiary, High Park Holdings, Ltd. (“High Park”) in Superior Court of the State of Washington, King County. Docklight claimed breach of contract against High Park arising from a 2018 license agreement pursuant to which Docklight licensed certain Bob Marley-related brands to High Park (as amended in 2020 and 2021, the “High Park License”). In addition, Docklight brought a negligent misrepresentation claim against Tilray, alleging that certain individuals at Tilray or Aphria had made false statements to Docklight in order to induce Docklight to waive Docklight’s alleged right to terminate the High Park License for change-of-control on the basis of the 2021 Tilray-Aphria Arrangement Agreement. Docklight seeks injunctive relief as well as unspecified damages. On December 17, 2021, Defendants removed the case to the United States District Court, Federal District of Washington. Defendants’ answer to the complaint was filed January 21, 2022, and discovery is ongoing. Mediation was held April 2023, but the parties were unable to reach a resolution. Tilray and High Park continue to believe that the claims are without merit and we intend to continue to vigorously defend the Docklight suit.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Cannfections Group Inc. / High Park Farms Ltd. and High Park Holdings Ltd. (Canada, Commercial Arbitration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 2022 Cannfections Group Inc., a JV that is 50% owned by High Park, (“Cannfections”) delivered a Request to Arbitrate along with a Statement of Claim to Tilray’s subsidiaries High Park Farms Ltd. and High Park Holdings Ltd. for an arbitration to be held in Toronto, Ontario. Cannfections claims breach of contract against Tilray arising from a 2019 supply agreement pursuant to which Tilray retained Cannfections to manufacture cannabis-infused chocolates and gummies. Cannfections primarily alleges that Tilray failed to meet certain minimum order volumes of products from Cannfections resulting in claimed damages of C$27,500. Tilray has filed a Statement of Defense denying the allegations and the parties have completed document production and selected an arbitrator to hear this matter in November 2023. Tilray believes these claims are without merit intends to vigorously defend the claims during arbitration proceeding</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Included in Litigation (recovery) costs is $33,400 relating to the SLC Settlement (net of costs) and expense accruals equaling $25,000 to cover various ongoing litigation matters that are probable and estimable, for the year ended May 31, 2023.</w:t>
      </w:r>
    </w:p>
    <w:p>
      <w:pPr>
        <w:spacing w:after="0" w:line="193" w:lineRule="exact"/>
        <w:rPr>
          <w:sz w:val="20"/>
          <w:szCs w:val="20"/>
          <w:color w:val="auto"/>
        </w:rPr>
      </w:pPr>
    </w:p>
    <w:p>
      <w:pPr>
        <w:ind w:right="6800" w:firstLine="8"/>
        <w:spacing w:after="0" w:line="503" w:lineRule="auto"/>
        <w:tabs>
          <w:tab w:leader="none" w:pos="31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and financial instruments Financial instruments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classified its financial instruments as described in Note 3 (Significant accounting policies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values of accounts receivable, bank indebtedness and accounts payable and accrued liabilities approximate their fair values due to their short periods to maturity.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long-term debt of $nil (2022 - $17,839) and the principal portion of convertible debentures payable of $464,070 are subject to fixed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inputs used in making the measurements. Cash and cash equivalents are Level 1. The hierarchy is summarized as follows:</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and liabilities</w:t>
      </w:r>
    </w:p>
    <w:p>
      <w:pPr>
        <w:spacing w:after="0" w:line="252" w:lineRule="exact"/>
        <w:rPr>
          <w:sz w:val="20"/>
          <w:szCs w:val="20"/>
          <w:color w:val="auto"/>
        </w:rPr>
      </w:pPr>
    </w:p>
    <w:p>
      <w:pPr>
        <w:ind w:left="1800" w:hanging="1133"/>
        <w:spacing w:after="0" w:line="277" w:lineRule="auto"/>
        <w:tabs>
          <w:tab w:leader="none" w:pos="17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observable for the asset or liability, either directly (prices) or indirectly (derived from prices) from observable market data</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for assets and liabilities not based upon observable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4" w:name="page115"/>
    <w:bookmarkEnd w:id="114"/>
    <w:p>
      <w:pPr>
        <w:jc w:val="both"/>
        <w:ind w:firstLine="648"/>
        <w:spacing w:after="0" w:line="308" w:lineRule="auto"/>
        <w:rPr>
          <w:sz w:val="20"/>
          <w:szCs w:val="20"/>
          <w:color w:val="auto"/>
        </w:rPr>
      </w:pPr>
      <w:r>
        <w:rPr>
          <w:rFonts w:ascii="Arial" w:cs="Arial" w:eastAsia="Arial" w:hAnsi="Arial"/>
          <w:sz w:val="17"/>
          <w:szCs w:val="17"/>
          <w:color w:val="auto"/>
        </w:rPr>
        <w:t>The following tables present information about the Company’s assets and liabilities that are measured at fair value on a recurring basis as of May 31, 2023 and 2022 and indicates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206,632</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206,632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241,897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Convertible notes receivable</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103,401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investments measured at fair value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(27,107)</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(27,107)</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APHA 24 Convertible debenture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(120,568)</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Total recurring fair value measurements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449,585</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(40,440)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410,233</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31,</w:t>
            </w:r>
          </w:p>
        </w:tc>
      </w:tr>
      <w:tr>
        <w:trPr>
          <w:trHeight w:val="234"/>
        </w:trPr>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415,909</w:t>
            </w:r>
          </w:p>
        </w:tc>
        <w:tc>
          <w:tcPr>
            <w:tcW w:w="12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415,909</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 receivable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Equity investments measured at fair value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(14,255)</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(14,255)</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(16,007)</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APHA 24 Convertible debenture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(216,753)</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(216,753)</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recurring fair value measurements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Convertible notes receivable and long-term investments are recorded at fair value. The estimated fair value is determined using the Black Scholes option pricing model, probability of legalization and is classified as Level 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Convertible debentures payable are recorded at fair value when elected or required under US GAAP. Specifically, the APHA 24 instrument's estimated fair value is determined using the Black-Scholes option pricing model and is classified as Level 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equity investments recorded at fair value have quoted prices in active markets for identical assets and are classified as Level 1.The Company classified securities with observable inputs as level 2 and without a quoted market price as Level 3.</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contingent consideration from the acquisitions of SweetWater and Montauk, due in December 2023 and December 2025, respectively and payable in cash, is determined by discounting future expected cash outflows at a discount rate of 5%, and 11.4%, respectively and probability of achievement of 25% and 80%. The unobservable inputs into the future expected cash outflows result in a fair value measurement classified as Level 3.</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balances of assets and liabilities categorized within Level 3 of the fair value hierarchy measured at fair value on a recurring basis are reconciled,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Balance, May 31, 2022 Additions / (repayments) Unrealized gain (loss) on fair value Impairments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Balance, May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APHA 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Convertible</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Warrant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Contingent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Convertible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notes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receivable</w:t>
            </w:r>
          </w:p>
        </w:tc>
        <w:tc>
          <w:tcPr>
            <w:tcW w:w="2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Liability</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9"/>
              </w:rPr>
              <w:t>Consideration</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$ 111,200</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$ 5,703</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(14,255)</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(16,007)</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(216,753)</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(130,112)</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167,752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122,500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280,007</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70,779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12,438</w:t>
            </w:r>
          </w:p>
        </w:tc>
        <w:tc>
          <w:tcPr>
            <w:tcW w:w="1120" w:type="dxa"/>
            <w:vAlign w:val="bottom"/>
          </w:tcPr>
          <w:p>
            <w:pPr>
              <w:jc w:val="right"/>
              <w:spacing w:after="0"/>
              <w:rPr>
                <w:sz w:val="20"/>
                <w:szCs w:val="20"/>
                <w:color w:val="auto"/>
              </w:rPr>
            </w:pPr>
            <w:r>
              <w:rPr>
                <w:rFonts w:ascii="Arial" w:cs="Arial" w:eastAsia="Arial" w:hAnsi="Arial"/>
                <w:sz w:val="18"/>
                <w:szCs w:val="18"/>
                <w:color w:val="auto"/>
              </w:rPr>
              <w:t>(855)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(26,315)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55,995</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(246,330)</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(246,330)</w:t>
            </w: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$ 103,401</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$ 5,651</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(1,817)</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(27,107)</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(120,568)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(40,440)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-719455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-445135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-162560</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00"/>
            <w:col w:w="7980"/>
          </w:cols>
          <w:pgMar w:left="320" w:top="823" w:right="339" w:bottom="1440" w:gutter="0" w:footer="0" w:header="0"/>
        </w:sectPr>
      </w:pPr>
    </w:p>
    <w:p>
      <w:pPr>
        <w:spacing w:after="0" w:line="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unrealized gain (loss) on fair value for the Convertible Debenture, warrant liability, contingent consideration and convertible notes payable are recognized in non-operating income (loss) and other comprehensive income for the convertible notes receivable using the following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Valuation</w:t>
            </w: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unobservable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Financial asset / financial liability</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technique</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input</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Inputs</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APHA Convertible debentures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Black-Scholes</w:t>
            </w: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Volatility,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expected life (in years)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Black-Scholes</w:t>
            </w: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Volatility,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expected life (in years)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Discounted cash flows</w:t>
            </w: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3"/>
              </w:rPr>
              <w:t>11%</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achievement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88"/>
              </w:rPr>
              <w:t>80%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receivable</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Black-Scholes</w:t>
            </w: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Effective interest rate,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22%</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forfeiture rate,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conversion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60%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Items measured at fair value on a non-recurring basis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exposure to the following risks from its use of financial instruments: credit; liquidity; currency rate; interest rate price; equity price risk; and capital management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 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The maximum credit exposure at May 31, 2023,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evaluates the collectability of its accounts receivable and maintains an allowance for credit losses at an amount sufficient to absorb losses inherent in the existing accounts receivable portfolio as of the reporting dates based on the estimate of expected net credit losses.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 receivables included an allowance for doubtful accounts and credit loss provision of $6,641 at May 31, 2023 (2022-$5,404) are broken out below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520" w:type="dxa"/>
            <w:vAlign w:val="bottom"/>
            <w:gridSpan w:val="3"/>
          </w:tcPr>
          <w:p>
            <w:pPr>
              <w:ind w:left="1060"/>
              <w:spacing w:after="0"/>
              <w:rPr>
                <w:sz w:val="20"/>
                <w:szCs w:val="20"/>
                <w:color w:val="auto"/>
              </w:rPr>
            </w:pPr>
            <w:r>
              <w:rPr>
                <w:rFonts w:ascii="Arial" w:cs="Arial" w:eastAsia="Arial" w:hAnsi="Arial"/>
                <w:sz w:val="18"/>
                <w:szCs w:val="18"/>
                <w:b w:val="1"/>
                <w:bCs w:val="1"/>
                <w:color w:val="auto"/>
              </w:rPr>
              <w:t>Balance at the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2060" w:type="dxa"/>
            <w:vAlign w:val="bottom"/>
            <w:gridSpan w:val="2"/>
          </w:tcPr>
          <w:p>
            <w:pPr>
              <w:ind w:left="1060"/>
              <w:spacing w:after="0"/>
              <w:rPr>
                <w:sz w:val="20"/>
                <w:szCs w:val="20"/>
                <w:color w:val="auto"/>
              </w:rPr>
            </w:pPr>
            <w:r>
              <w:rPr>
                <w:rFonts w:ascii="Arial" w:cs="Arial" w:eastAsia="Arial" w:hAnsi="Arial"/>
                <w:sz w:val="18"/>
                <w:szCs w:val="18"/>
                <w:b w:val="1"/>
                <w:bCs w:val="1"/>
                <w:color w:val="auto"/>
                <w:w w:val="90"/>
              </w:rPr>
              <w:t>beginning of</w:t>
            </w:r>
          </w:p>
        </w:tc>
        <w:tc>
          <w:tcPr>
            <w:tcW w:w="460" w:type="dxa"/>
            <w:vAlign w:val="bottom"/>
          </w:tcPr>
          <w:p>
            <w:pPr>
              <w:spacing w:after="0"/>
              <w:rPr>
                <w:sz w:val="18"/>
                <w:szCs w:val="18"/>
                <w:color w:val="auto"/>
              </w:rPr>
            </w:pPr>
          </w:p>
        </w:tc>
        <w:tc>
          <w:tcPr>
            <w:tcW w:w="168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Movement during</w:t>
            </w:r>
          </w:p>
        </w:tc>
        <w:tc>
          <w:tcPr>
            <w:tcW w:w="2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7"/>
              </w:rPr>
              <w:t>Balance at end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May 31, 2023</w:t>
            </w:r>
          </w:p>
        </w:tc>
        <w:tc>
          <w:tcPr>
            <w:tcW w:w="2060" w:type="dxa"/>
            <w:vAlign w:val="bottom"/>
            <w:gridSpan w:val="2"/>
          </w:tcPr>
          <w:p>
            <w:pPr>
              <w:ind w:left="1060"/>
              <w:spacing w:after="0"/>
              <w:rPr>
                <w:sz w:val="20"/>
                <w:szCs w:val="20"/>
                <w:color w:val="auto"/>
              </w:rPr>
            </w:pPr>
            <w:r>
              <w:rPr>
                <w:rFonts w:ascii="Arial" w:cs="Arial" w:eastAsia="Arial" w:hAnsi="Arial"/>
                <w:sz w:val="18"/>
                <w:szCs w:val="18"/>
                <w:b w:val="1"/>
                <w:bCs w:val="1"/>
                <w:color w:val="auto"/>
              </w:rPr>
              <w:t>period</w:t>
            </w:r>
          </w:p>
        </w:tc>
        <w:tc>
          <w:tcPr>
            <w:tcW w:w="460" w:type="dxa"/>
            <w:vAlign w:val="bottom"/>
          </w:tcPr>
          <w:p>
            <w:pPr>
              <w:spacing w:after="0"/>
              <w:rPr>
                <w:sz w:val="20"/>
                <w:szCs w:val="20"/>
                <w:color w:val="auto"/>
              </w:rPr>
            </w:pPr>
          </w:p>
        </w:tc>
        <w:tc>
          <w:tcPr>
            <w:tcW w:w="1140" w:type="dxa"/>
            <w:vAlign w:val="bottom"/>
            <w:gridSpan w:val="2"/>
          </w:tcPr>
          <w:p>
            <w:pPr>
              <w:ind w:left="220"/>
              <w:spacing w:after="0" w:line="235" w:lineRule="exact"/>
              <w:rPr>
                <w:sz w:val="20"/>
                <w:szCs w:val="20"/>
                <w:color w:val="auto"/>
              </w:rPr>
            </w:pPr>
            <w:r>
              <w:rPr>
                <w:rFonts w:ascii="Arial" w:cs="Arial" w:eastAsia="Arial" w:hAnsi="Arial"/>
                <w:sz w:val="17"/>
                <w:szCs w:val="17"/>
                <w:b w:val="1"/>
                <w:bCs w:val="1"/>
                <w:color w:val="auto"/>
              </w:rPr>
              <w:t>the year</w:t>
            </w:r>
            <w:r>
              <w:rPr>
                <w:rFonts w:ascii="Arial" w:cs="Arial" w:eastAsia="Arial" w:hAnsi="Arial"/>
                <w:sz w:val="27"/>
                <w:szCs w:val="27"/>
                <w:b w:val="1"/>
                <w:bCs w:val="1"/>
                <w:color w:val="auto"/>
                <w:vertAlign w:val="superscript"/>
              </w:rPr>
              <w:t>(1)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credit loss provision</w:t>
            </w:r>
          </w:p>
        </w:tc>
        <w:tc>
          <w:tcPr>
            <w:tcW w:w="20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5,404</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Fiscal year ended May 31, 2022</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credit loss provision</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Fiscal year ended May 31, 2021</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credit loss provision</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400" w:hanging="318"/>
        <w:spacing w:after="0" w:line="277" w:lineRule="auto"/>
        <w:tabs>
          <w:tab w:leader="none" w:pos="64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movements for the period is the total movements for foreign exchange, additions to the provisions and utilization of the credit loss provision and allowance for doubtful accounts.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16" w:name="page117"/>
    <w:bookmarkEnd w:id="116"/>
    <w:p>
      <w:pPr>
        <w:ind w:left="320"/>
        <w:spacing w:after="0"/>
        <w:rPr>
          <w:sz w:val="20"/>
          <w:szCs w:val="20"/>
          <w:color w:val="auto"/>
        </w:rPr>
      </w:pPr>
      <w:r>
        <w:rPr>
          <w:rFonts w:ascii="Arial" w:cs="Arial" w:eastAsia="Arial" w:hAnsi="Arial"/>
          <w:sz w:val="18"/>
          <w:szCs w:val="18"/>
          <w:i w:val="1"/>
          <w:iCs w:val="1"/>
          <w:color w:val="auto"/>
        </w:rPr>
        <w:t>(b) Liquidity risk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at May 31, 2023, the Company’s financial liabilities consist of bank indebtedness and accounts payable and accrued liabilities, which have contractual maturity dates within one-year, long-term debt, and convertible debentures which have contractual maturities over the next five years.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a minimum deposit on certain Canadian cash operating accounts tied to loans secured by its Aphria One and SweetWater facilities. The Company maintains debt service charge and leverage covenants on certain loans secured by its Aphria Diamond facilities and 420 that are measured quarterly. The Company believes that it has sufficient operating room with respect to its financial covenants for the next fiscal year and does not anticipate being in breach of any of its financial covenants.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manages its liquidity risk by reviewing its capital requirements on an ongoing basis. Based on the Company’s working capital position at May 31, 2023, management regards liquidity risk to be low.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  Currency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at May 31, 2023,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currently use foreign exchange contracts to hedge its exposure of its foreign currency cash flows as management has determined that this risk is not significant at this point in time.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 Interest rate price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  Capital management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objectives when managing its capital are to safeguard its ability to continue as a going concern, to meet its capital expenditures for its continued operations, and to maintain a flexible capital structure which optimizes the cost of capital within a framework of acceptable risk. The Company manages its capital structure and adjusts it in light of changes in economic conditions and the risk characteristics of the underlying assets. To maintain or adjust its capital structure, the Company may issue new shares, issue new debt, or acquire or dispose of assets. The Company is not subject to externally imposed capital requirements.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year. The Company considers its cash and cash equivalents and marketable securities as capital.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Segment reporting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Information reported to the Chief Operating Decision Maker (“CODM”) for the purpose of resource allocation and assessment of segment performance focuses on the nature of the operations. The Company operates in four segments. 1) cannabis operations, which encompasses the production, distribution, sale, co-manufacturing and advisory services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7" w:name="page118"/>
    <w:bookmarkEnd w:id="117"/>
    <w:p>
      <w:pPr>
        <w:jc w:val="both"/>
        <w:ind w:firstLine="648"/>
        <w:spacing w:after="0" w:line="277" w:lineRule="auto"/>
        <w:rPr>
          <w:sz w:val="20"/>
          <w:szCs w:val="20"/>
          <w:color w:val="auto"/>
        </w:rPr>
      </w:pPr>
      <w:r>
        <w:rPr>
          <w:rFonts w:ascii="Arial" w:cs="Arial" w:eastAsia="Arial" w:hAnsi="Arial"/>
          <w:sz w:val="18"/>
          <w:szCs w:val="18"/>
          <w:color w:val="auto"/>
        </w:rPr>
        <w:t>Operating segments have not been aggregated and no asset information is provided for the segments because the Company’s CODM does not receive asset information by segment on a regular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660"/>
              <w:spacing w:after="0"/>
              <w:rPr>
                <w:sz w:val="20"/>
                <w:szCs w:val="20"/>
                <w:color w:val="auto"/>
              </w:rPr>
            </w:pPr>
            <w:r>
              <w:rPr>
                <w:rFonts w:ascii="Arial" w:cs="Arial" w:eastAsia="Arial" w:hAnsi="Arial"/>
                <w:sz w:val="18"/>
                <w:szCs w:val="18"/>
                <w:color w:val="auto"/>
              </w:rPr>
              <w:t>Segment gross profit from external customers: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Cannabis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194,834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130,511</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3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w w:val="93"/>
              </w:rPr>
              <w:t>Distribution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258,770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243,231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242,472</w:t>
            </w: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w w:val="87"/>
              </w:rPr>
              <w:t>Beverage alcohol</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30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87"/>
              </w:rPr>
              <w:t>Wellness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6300" w:type="dxa"/>
            <w:vAlign w:val="bottom"/>
          </w:tcPr>
          <w:p>
            <w:pPr>
              <w:ind w:left="660"/>
              <w:spacing w:after="0"/>
              <w:rPr>
                <w:sz w:val="20"/>
                <w:szCs w:val="20"/>
                <w:color w:val="auto"/>
              </w:rPr>
            </w:pPr>
            <w:r>
              <w:rPr>
                <w:rFonts w:ascii="Arial" w:cs="Arial" w:eastAsia="Arial" w:hAnsi="Arial"/>
                <w:sz w:val="18"/>
                <w:szCs w:val="18"/>
                <w:color w:val="auto"/>
              </w:rPr>
              <w:t>Channels of cannabis revenue were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Canadian medical cannabis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Revenue from Canadian adult-use cannabis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209,501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222,930</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wholesale cannabis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Revenue from international cannabis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excise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(63,369)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(62,942)</w:t>
            </w:r>
          </w:p>
        </w:tc>
      </w:tr>
      <w:tr>
        <w:trPr>
          <w:trHeight w:val="210"/>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220,430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237,522</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201,392</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12, 2022, Tilray acquired the HEXO Convertible Note from HTI and also entered into a strategic alliance with HEXO Corp. (“HEXO”) as discussed in Note 11 (Convertible notes receivable) and Note 17 (Convertible debentures payable). In addition, the Company and HEXO entered into various commercial transaction agreements, including (i) an advisory services agreement regarding Tilray’s provision of advisory services to HEXO in exchange for an $18 million annual advisory fee payable to Tilray; (ii) a co-manufacturing agreement providing for third-party manufacturing services between the parties and setting forth the terms of Tilray’s international bulk supply to HEXO; and (iii) a procurement and cost savings agreement for shared savings related to specified optimization activities, procurement, and other similar cost savings realized by the parties as a result of the foregoing commercial arrangements.</w:t>
      </w:r>
    </w:p>
    <w:p>
      <w:pPr>
        <w:spacing w:after="0" w:line="19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Included in revenue from Canadian adult-use cannabis is $40,377 of advisory services, as well as amendment fees related to modifications to the existing advisory services agreement and procurement services revenue for the year ended May 31, 2023 from the aforementioned HEXO commercial transaction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4420" w:type="dxa"/>
            <w:vAlign w:val="bottom"/>
          </w:tcPr>
          <w:p>
            <w:pPr>
              <w:ind w:left="660"/>
              <w:spacing w:after="0"/>
              <w:rPr>
                <w:sz w:val="20"/>
                <w:szCs w:val="20"/>
                <w:color w:val="auto"/>
              </w:rPr>
            </w:pPr>
            <w:r>
              <w:rPr>
                <w:rFonts w:ascii="Arial" w:cs="Arial" w:eastAsia="Arial" w:hAnsi="Arial"/>
                <w:sz w:val="18"/>
                <w:szCs w:val="18"/>
                <w:color w:val="auto"/>
              </w:rPr>
              <w:t>Geographic net revenue:</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90"/>
              </w:rPr>
              <w:t>For the year ended May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EMEA</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284,567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296,911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627,124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628,372</w:t>
            </w:r>
          </w:p>
        </w:tc>
        <w:tc>
          <w:tcPr>
            <w:tcW w:w="4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513,085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660"/>
              <w:spacing w:after="0"/>
              <w:rPr>
                <w:sz w:val="20"/>
                <w:szCs w:val="20"/>
                <w:color w:val="auto"/>
              </w:rPr>
            </w:pPr>
            <w:r>
              <w:rPr>
                <w:rFonts w:ascii="Arial" w:cs="Arial" w:eastAsia="Arial" w:hAnsi="Arial"/>
                <w:sz w:val="18"/>
                <w:szCs w:val="18"/>
                <w:color w:val="auto"/>
              </w:rPr>
              <w:t>Geographic capital assets:</w:t>
            </w:r>
          </w:p>
        </w:tc>
        <w:tc>
          <w:tcPr>
            <w:tcW w:w="1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May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319,173</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EMEA</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429,667</w:t>
            </w:r>
          </w:p>
        </w:tc>
        <w:tc>
          <w:tcPr>
            <w:tcW w:w="4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587,499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Major customers are defined as customers that each individually account for greater than 10% of the Company’s annual revenues. For the years ended May 31, 2023, 2022 and 2021 there were no major customers representing greater than 10% of our annual revenues.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9, 2023, the Company issued $22,500 of additional convertible debentures payable under TLRY 27 by way of overallotment.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22, 2023, the Company acquired all shares of HEXO Corp. ("HEXO"), by way of the Arrangement agreement filed on April 10, 2023. As consideration for the HEXO acquisition, the Company issued 39,705,962 of Tilray's common shares and the convertible note receivable due from HEXO was exercised the immediately preceding trading day prior to closing the transaction.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2023, the Company refinanced its term loan of $100,000 through wholly owned subsidiary Four Twenty Corporation (“420”) which amended the interest rates to lower the applicable margins, extended the maturity to June 2028, provided a new repayment schedule and amended the corporate guarantee from Aphria Inc. to Tilray Brands,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Tilray Brands,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statements of financial position of Tilray Brands, Inc. and its subsidiaries (together, the Company) as of May 31, 2023 and 2022, and the related consolidated statements of loss and comprehensive loss, of changes in equity and of cash flows for each of the three years in the period ended May 31, 2023, including the related notes (collectively referred to as the consolidated financial statements). We also have audited the Company's internal control over financial reporting as of May 31, 2023,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May 31, 2023 and 2022, and the results of its operations and its cash flows for each of the three years in the period ended May 31, 2023 in conformity with accounting principles generally accepted in the United States of America. Also in our opinion, the Company maintained, in all material respects, effective internal control over financial reporting as of May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Controls over Financial Reporting. Our responsibility is to express opinions on the Company’s consolidated financial statements and on the Company's internal control over financial reporting appearing under Item 9A.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Management's Report on Internal Controls over Financial Reporting, management has excluded Montauk Brewing Company, Inc. from its assessment of internal control over financial reporting as of May 31, 2023 because it was acquired by the Company in a purchase business combination during the year ended May 31, 2023. Montauk Brewing Company, Inc. is a wholly-owned subsidiary whose total assets and total revenues excluded from management’s assessment and our audit of internal control over financial reporting represent 1% and 1%, respectively, of the related consolidated financial statement amounts as of and for the year ended May 31,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Assessments of Goodwill and Indefinite-lived Intangible Assets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described in Notes 3, 8 and 10 to the consolidated financial statements, the Company’s consolidated goodwill and indefinite-lived intangible assets balances were $2,008.8 million and $181.1 million respectively at May 31, 2023. Management conducts an impairment assessment annually in the fourth quarter, or more frequently if events or changes in circumstances indicate that the carrying value of goodwill or indefinite-lived intangibles may not be recoverable. Any impairment charges are determined by comparing the fair value of the reporting unit to its carrying value. Fair value amounts are estimated by management using discounted cash flow models. As of February 28, 2023, management concluded that it was more likely than not, that the fair value of the reporting units was less than their carrying amounts. As a result, the Company performed impairment tests which resulted in impairment charges of $603.5 million of cannabis goodwill, $15 million of wellness goodwill and $55 million of cannabis indefinite-lived intangible assets. As at May 31, 2023, management performed the annual impairment tests which resulted in no further impairment to be recorded beyond the charges recorded from the February 28, 2023 assessment. Management's cash flow models included significant judgements and assumptions relating to future cash flows, growth rates and discount rates.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assessments of goodwill and indefinite-lived intangible assets is a critical audit matter are (i) the significant judgement required by management when developing the fair values of the assets or reporting units; and (ii) a high degree of auditor judgement, subjectivity and effort in performing procedures to evaluate management’s significant assumptions, including future cash flows, growth rates and discount rates.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assets impairment assessments, including controls over the determination of the fair values of the assets or reporting units. These procedures also included, among others, (i) testing management’s process for developing the fair value estimates of the assets or reporting units; (ii) evaluating the appropriateness of the underlying discounted cash flow models; (iii) testing the completeness and accuracy of underlying data used in the models; and (iv) evaluating the reasonableness of the significant assumptions used by management, including the future cash flows, growth rates and discount rates. Evaluating management’s significant assumptions related to future cash flows, growth rates and the discount rates involved evaluating whether the assumptions used by management were reasonable considering (i) the current and past performance of the assets or reporting units; (ii) the consistency with external market and industry data; and (iii) whether these assumptions were consistent with evidence obtained in other areas of the audit, as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Oakville,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established disclosure controls and procedures (as defined in Rules 13a-15(e) and 15d-15(e) under the Exchange Act) to ensure that material information relating to us, including our consolidated subsidiaries, is made known to the officers who certify our financial reports and to other members of senior management and the Board.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Based on this evaluation, as of the end of the period covered by this Annual Report on Form 10-K, our principal executive officer and principal financial officer have concluded that our disclosure controls and procedures are effective to ensure that the information required to be disclosed by us in the reports that we file or submit under the Exchange Act is (1) recorded, processed, summarized, and reported within the time periods specified in the SEC rules and forms, and (2) accumulated and communicated to management, including our principal executive officer and principal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Internal control over financial reporting includes policies and procedures that:</w:t>
      </w:r>
    </w:p>
    <w:p>
      <w:pPr>
        <w:spacing w:after="0" w:line="171" w:lineRule="exact"/>
        <w:rPr>
          <w:sz w:val="20"/>
          <w:szCs w:val="20"/>
          <w:color w:val="auto"/>
        </w:rPr>
      </w:pPr>
    </w:p>
    <w:p>
      <w:pPr>
        <w:ind w:left="980" w:right="1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 of management and directors of the Company;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important to understand that there are inherent limitations on effectiveness of internal controls as stated within COSO. Internal controls, no matter how well designed and operated, may not prevent or detect misstatements and can only provide reasonable assurance to management and the Board of Directors regarding achievement of an entity’s objectives.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following:</w:t>
      </w:r>
    </w:p>
    <w:p>
      <w:pPr>
        <w:spacing w:after="0" w:line="18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Judgments in decision-making can be faulty, and control and process breakdowns can occur because of simple errors or mistakes;</w:t>
      </w:r>
    </w:p>
    <w:p>
      <w:pPr>
        <w:spacing w:after="0" w:line="47"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policies or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3" w:name="page124"/>
    <w:bookmarkEnd w:id="123"/>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as of May 31, 2023, based on the criteria set forth by the Committee of Sponsoring Organizations of the Treadway Commission (COSO) in Internal Control - Integrated Framework (2013) issued. Based on this evaluation, our management concluded that our internal control over financial reporting was effective as of May 31, 2023.</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May 31, 2023 has been audited by PricewaterhouseCoopers LLP, an independent registered public accounting firm, as stated in their report which accompanies the consolidated financial statements.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second quarter of our fiscal year ended May 31, 2023, we completed the acquisition of Montauk. As a result of the acquisition, Montauk became a wholly-owned subsidiary of Tilray Brands, Inc. In accordance with guidance issued by the SEC, companies are permitted to exclude acquisitions from their final assessment of internal control over financial reporting for the first fiscal year in which the acquisition occurred. Our management, with the participation of our Chief Executive Officer and Chief Financial Officer, has limited the evaluation of internal controls over our financial reporting to exclude controls, policies and procedures and internal controls over financial reporting of the recently acquired Montauk. The operations of Montauk represent approximately 1% of our total assets and 1% of our net revenue for the year ended May 31,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our most recent quarter,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26, 2023, the Company’s Compensation Committee (the “Committee”) approved performance-based grants, allocated as 50% performance stock units (“PSUs”) and 50% performance cash awards (“PCAs,” and collectively with the PSUs, the “Performance Awards”) to certain of the Company’s named executive officers and other key employees under the Tilray, Inc. Amended and Restated 2018 Equity Incentive Plan (the “2018 Plan”). The percentage of the Performance Awards earned will be based on the Company’s financial performance as measured against target goals for annual and cumulative Adjusted EBITDA, as defined in the Company’s public filings (the “Performance Goals”) over the period beginning on June 1, 2023 and ending on May 31, 2026 (the “Performance Period”). The Performance Awards will vest as of the end of the Performance Period (May 31, 2026) subject to the executive officer’s Continuous Service (as defined in the 2018 Plan), but will not settle and payout until the percentage of the Performance Awards earned is determined by the Committee. The executive officer may earn between 0% and 100% of the Target Award Value based on the Company’s achievement of the Performance Goals.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PSU represents a contingent right to receive one share of the Company’s common stock. The number of PSUs issued to the Company’s executive officers will be equivalent to 50% of the Target Award Value divided by the Company’s closing common stock price on the grant date for the awards, which is July 26, 2023.</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executive officer’s Continuous Service terminates for any reason other than: (i) without Cause (as defined in the 2018 Plan) within 3 months of the end of the Performance Period; (ii) death; (iii) Disability (as defined in the 2018 Plan); or (iv) in connection with a Change in Control (as defined in the 2018 Plan), unless the Committee determines otherwise, the Performance Award shall be forfeited and canceled immediately without consideration.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executive officer’s Continuous Service terminates without Cause within 3 months before the end of the Performance Period, a pro rata portion of the Performance Awards (calculated based on the days elapsed in a Performance Period prior to the termination of Continuous Service divided by the total days in the Performance Period) shall vest and become payable.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executive officer’s Continuous Service terminates due to death or Disability prior to the end of the Performance Period, the Performance Awards will vest at 100% of the Target Award Value. If the executive officer’s Continuous Service is terminated without Cause within following a Change in Control, the Performance Awards will vest at 100% of the Target Award Value.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foregoing description is only a summary of the terms of the Performance Awards and is qualified in its entirety by reference to the full text of the Performance Awards which will be set forth in separate PSU and PCA notice and award agreements (the “Award Agreements”), forms of which will be filed as exhibits to the Company’s Quarterly Report on Form 10-Q for the quarterly period ending August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This Part III incorporates certain information by reference from the definitive proxy statement to be filed in connection with our 2023 Annual Meeting of Stockholders (the “2023 Proxy Statement”). We will file the Proxy Statement with the Securities and Exchange Commission pursuant to Regulation 14A not later than 120 days after the end of the year ended May 31, 2023. If our Proxy Statement is not filed within 120 days of May 31, 2023, the omitted information will be included in an amendment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not later than the end of such 120-day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60" w:hanging="652"/>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required by this Item concerning our executive officers and our directors and nominees for director, including information with respect to our audit committee and audit committee financial expert, may be found under the section entitled “Proposal No. 1 Election of Directors,” “Information Regarding the Board of Directors and Corporate Governance,” and “Executive Officers” appearing in the 2023 Proxy Statement. Such information is incorporated herein by reference.</w:t>
      </w:r>
    </w:p>
    <w:p>
      <w:pPr>
        <w:spacing w:after="0" w:line="186"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required by this Item concerning our code of ethics may be found under the section entitled “Information Regarding the Board of Directors and Corporate Governance” appearing in the 2023 Proxy Statement. Such information is incorporated herein by reference.</w:t>
      </w:r>
    </w:p>
    <w:p>
      <w:pPr>
        <w:spacing w:after="0" w:line="123"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required by this Item concerning compliance with Section 16(a) of the Securities Exchange Act of 1934 may be found in the section entitled “Delinquent Section 16(a) Reports” appearing in the 2023 Proxy Statement. Such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may be found under the sections entitled “Director Compensation”, “Executive Compensation” and “Equity Compensation Plan Information” appearing in the 2023 Proxy Statement.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security ownership of certain beneficial owners and management may be found under the section entitled “Security Ownership of Certain Beneficial Owners and Management” appearing in the 2023 Proxy Statement. Such information is incorporated herein by reference.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securities authorized for issuance under our equity compensation plans may be found under the sections entitled “Equity Compensation Plan Information” appearing in the 2023 Proxy Statement.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required by this Item concerning related party transactions may be found under the section entitled “Transactions with Related Persons” appearing in the 2023 Proxy Statement. Such information is incorporated herein by reference.</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2023 Proxy Statement. Such information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may be found under the section entitled “Proposal No. 3 - Ratification of Appointment of Independent Registered Public Accounting Firm” appearing in the 2023 Proxy Statement. Such information is incorporated herein by reference.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Financial Statements and Report of Independent Registered Public Accounting Firm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Financial Statement Schedules have been omitted because the information required to be set forth therein is not applicable or is shown in the financial statements or notes thereto.</w:t>
      </w:r>
    </w:p>
    <w:p>
      <w:pPr>
        <w:spacing w:after="0" w:line="170" w:lineRule="exact"/>
        <w:rPr>
          <w:sz w:val="20"/>
          <w:szCs w:val="20"/>
          <w:color w:val="auto"/>
        </w:rPr>
      </w:pPr>
    </w:p>
    <w:p>
      <w:pPr>
        <w:ind w:left="98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Exhibits are incorporated herein by reference or are filed with this report as indicated below (numbered in accordance with Item 601 of Regulation S-K).</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exhibits listed below on the Exhibit Index are filed herewith or are incorporated by reference to exhibits previously filed with the SEC.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8"/>
          </w:tcPr>
          <w:p>
            <w:pPr>
              <w:ind w:left="42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Incorporate by Reference</w:t>
            </w:r>
          </w:p>
        </w:tc>
        <w:tc>
          <w:tcPr>
            <w:tcW w:w="1060" w:type="dxa"/>
            <w:vAlign w:val="bottom"/>
          </w:tcPr>
          <w:p>
            <w:pPr>
              <w:spacing w:after="0"/>
              <w:rPr>
                <w:sz w:val="24"/>
                <w:szCs w:val="24"/>
                <w:color w:val="auto"/>
              </w:rPr>
            </w:pPr>
          </w:p>
        </w:tc>
      </w:tr>
      <w:tr>
        <w:trPr>
          <w:trHeight w:val="216"/>
        </w:trPr>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11"/>
          </w:tcPr>
          <w:p>
            <w:pPr>
              <w:ind w:left="1560"/>
              <w:spacing w:after="0"/>
              <w:rPr>
                <w:sz w:val="20"/>
                <w:szCs w:val="20"/>
                <w:color w:val="auto"/>
              </w:rPr>
            </w:pPr>
            <w:r>
              <w:rPr>
                <w:rFonts w:ascii="Arial" w:cs="Arial" w:eastAsia="Arial" w:hAnsi="Arial"/>
                <w:sz w:val="18"/>
                <w:szCs w:val="18"/>
                <w:b w:val="1"/>
                <w:bCs w:val="1"/>
                <w:color w:val="auto"/>
              </w:rPr>
              <w:t>Description of Document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ind w:left="160"/>
              <w:spacing w:after="0"/>
              <w:rPr>
                <w:sz w:val="20"/>
                <w:szCs w:val="20"/>
                <w:color w:val="auto"/>
              </w:rPr>
            </w:pPr>
            <w:r>
              <w:rPr>
                <w:rFonts w:ascii="Arial" w:cs="Arial" w:eastAsia="Arial" w:hAnsi="Arial"/>
                <w:sz w:val="18"/>
                <w:szCs w:val="18"/>
                <w:b w:val="1"/>
                <w:bCs w:val="1"/>
                <w:color w:val="auto"/>
              </w:rPr>
              <w:t>Filing Date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391"/>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3.1</w:t>
            </w:r>
          </w:p>
        </w:tc>
        <w:tc>
          <w:tcPr>
            <w:tcW w:w="5780" w:type="dxa"/>
            <w:vAlign w:val="bottom"/>
            <w:gridSpan w:val="13"/>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Amended and Restated Certificate of Incorporation, as currently in effect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12/17/2019</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3.2</w:t>
            </w:r>
          </w:p>
        </w:tc>
        <w:tc>
          <w:tcPr>
            <w:tcW w:w="5040" w:type="dxa"/>
            <w:vAlign w:val="bottom"/>
            <w:tcBorders>
              <w:bottom w:val="single" w:sz="8" w:color="0000EE"/>
            </w:tcBorders>
            <w:gridSpan w:val="6"/>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Certificate of Amendment of the Amended and Restated Certificate of</w:t>
              </w:r>
            </w:hyperlink>
          </w:p>
        </w:tc>
        <w:tc>
          <w:tcPr>
            <w:tcW w:w="740" w:type="dxa"/>
            <w:vAlign w:val="bottom"/>
            <w:gridSpan w:val="7"/>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9/10/2021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Incorporation of Tilray, Inc. as of September 10, 2021</w:t>
              </w:r>
            </w:hyperlink>
          </w:p>
        </w:tc>
        <w:tc>
          <w:tcPr>
            <w:tcW w:w="19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3.3</w:t>
            </w:r>
          </w:p>
        </w:tc>
        <w:tc>
          <w:tcPr>
            <w:tcW w:w="5620" w:type="dxa"/>
            <w:vAlign w:val="bottom"/>
            <w:tcBorders>
              <w:bottom w:val="single" w:sz="8" w:color="0000EE"/>
            </w:tcBorders>
            <w:gridSpan w:val="11"/>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Second Certificate of Amendment of the Amended and Restated Certificate of</w:t>
              </w:r>
            </w:hyperlink>
          </w:p>
        </w:tc>
        <w:tc>
          <w:tcPr>
            <w:tcW w:w="16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1/10/2022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80" w:type="dxa"/>
            <w:vAlign w:val="bottom"/>
            <w:gridSpan w:val="1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Incorporation of Tilray, Inc. as of January 10, 2022</w:t>
              </w:r>
            </w:hyperlink>
          </w:p>
        </w:tc>
        <w:tc>
          <w:tcPr>
            <w:tcW w:w="8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3.4</w:t>
            </w:r>
          </w:p>
        </w:tc>
        <w:tc>
          <w:tcPr>
            <w:tcW w:w="5780" w:type="dxa"/>
            <w:vAlign w:val="bottom"/>
            <w:gridSpan w:val="13"/>
          </w:tcPr>
          <w:p>
            <w:pPr>
              <w:spacing w:after="0"/>
              <w:rPr>
                <w:rFonts w:ascii="Arial" w:cs="Arial" w:eastAsia="Arial" w:hAnsi="Arial"/>
                <w:sz w:val="18"/>
                <w:szCs w:val="18"/>
                <w:color w:val="0000EE"/>
              </w:rPr>
            </w:pPr>
            <w:hyperlink r:id="rId136">
              <w:r>
                <w:rPr>
                  <w:rFonts w:ascii="Arial" w:cs="Arial" w:eastAsia="Arial" w:hAnsi="Arial"/>
                  <w:sz w:val="18"/>
                  <w:szCs w:val="18"/>
                  <w:color w:val="0000EE"/>
                </w:rPr>
                <w:t>Certificate of Retirement of Class 1 Common Stock</w:t>
              </w:r>
            </w:hyperlink>
          </w:p>
        </w:tc>
        <w:tc>
          <w:tcPr>
            <w:tcW w:w="820" w:type="dxa"/>
            <w:vAlign w:val="bottom"/>
          </w:tcPr>
          <w:p>
            <w:pPr>
              <w:jc w:val="center"/>
              <w:spacing w:after="0"/>
              <w:rPr>
                <w:sz w:val="20"/>
                <w:szCs w:val="20"/>
                <w:color w:val="auto"/>
              </w:rPr>
            </w:pPr>
            <w:r>
              <w:rPr>
                <w:rFonts w:ascii="Arial" w:cs="Arial" w:eastAsia="Arial" w:hAnsi="Arial"/>
                <w:sz w:val="18"/>
                <w:szCs w:val="18"/>
                <w:color w:val="auto"/>
              </w:rPr>
              <w:t>8-A/A</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10/1/2020</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3.5</w:t>
            </w:r>
          </w:p>
        </w:tc>
        <w:tc>
          <w:tcPr>
            <w:tcW w:w="5780" w:type="dxa"/>
            <w:vAlign w:val="bottom"/>
            <w:tcBorders>
              <w:bottom w:val="single" w:sz="8" w:color="0000EE"/>
            </w:tcBorders>
            <w:gridSpan w:val="13"/>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Third Amended and Restated Certificate of Incorporation, dated as of March 16,</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4/10/2023</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37">
              <w:r>
                <w:rPr>
                  <w:rFonts w:ascii="Arial" w:cs="Arial" w:eastAsia="Arial" w:hAnsi="Arial"/>
                  <w:sz w:val="18"/>
                  <w:szCs w:val="18"/>
                  <w:color w:val="0000EE"/>
                  <w:w w:val="84"/>
                </w:rPr>
                <w:t>2023.</w:t>
              </w:r>
            </w:hyperlink>
          </w:p>
        </w:tc>
        <w:tc>
          <w:tcPr>
            <w:tcW w:w="3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3.6</w:t>
            </w:r>
          </w:p>
        </w:tc>
        <w:tc>
          <w:tcPr>
            <w:tcW w:w="5780" w:type="dxa"/>
            <w:vAlign w:val="bottom"/>
            <w:gridSpan w:val="13"/>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Certificate of Designation of Series A Preferred Stock, dated February 21, 2023.</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2/21/2023</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3.7</w:t>
            </w:r>
          </w:p>
        </w:tc>
        <w:tc>
          <w:tcPr>
            <w:tcW w:w="5780" w:type="dxa"/>
            <w:vAlign w:val="bottom"/>
            <w:gridSpan w:val="13"/>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Amended and Restated Bylaws, as of January 10, 2022, as currently in effect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3.2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1/10/2022</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jc w:val="center"/>
              <w:ind w:right="130"/>
              <w:spacing w:after="0"/>
              <w:rPr>
                <w:sz w:val="20"/>
                <w:szCs w:val="20"/>
                <w:color w:val="auto"/>
              </w:rPr>
            </w:pPr>
            <w:r>
              <w:rPr>
                <w:rFonts w:ascii="Arial" w:cs="Arial" w:eastAsia="Arial" w:hAnsi="Arial"/>
                <w:sz w:val="18"/>
                <w:szCs w:val="18"/>
                <w:color w:val="auto"/>
                <w:w w:val="87"/>
              </w:rPr>
              <w:t>4.1</w:t>
            </w:r>
          </w:p>
        </w:tc>
        <w:tc>
          <w:tcPr>
            <w:tcW w:w="5560" w:type="dxa"/>
            <w:vAlign w:val="bottom"/>
            <w:tcBorders>
              <w:bottom w:val="single" w:sz="8" w:color="0000EE"/>
            </w:tcBorders>
            <w:gridSpan w:val="10"/>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Indenture dated as of October 10, 2018, between Tilray, Inc. and GLAS Trust</w:t>
              </w:r>
            </w:hyperlink>
          </w:p>
        </w:tc>
        <w:tc>
          <w:tcPr>
            <w:tcW w:w="22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80" w:type="dxa"/>
            <w:vAlign w:val="bottom"/>
            <w:gridSpan w:val="13"/>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Company LLC, relating to Tilray Inc.’s 5.00% Convertible Senior Notes due</w:t>
              </w:r>
            </w:hyperlink>
          </w:p>
        </w:tc>
        <w:tc>
          <w:tcPr>
            <w:tcW w:w="8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0">
              <w:r>
                <w:rPr>
                  <w:rFonts w:ascii="Arial" w:cs="Arial" w:eastAsia="Arial" w:hAnsi="Arial"/>
                  <w:sz w:val="18"/>
                  <w:szCs w:val="18"/>
                  <w:color w:val="0000EE"/>
                  <w:w w:val="84"/>
                </w:rPr>
                <w:t>2023</w:t>
              </w:r>
            </w:hyperlink>
          </w:p>
        </w:tc>
        <w:tc>
          <w:tcPr>
            <w:tcW w:w="4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5040" w:type="dxa"/>
            <w:vAlign w:val="bottom"/>
            <w:gridSpan w:val="6"/>
          </w:tcPr>
          <w:p>
            <w:pPr>
              <w:ind w:left="468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Incorporate by Reference</w:t>
            </w: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Schedule</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60" w:type="dxa"/>
            <w:vAlign w:val="bottom"/>
            <w:gridSpan w:val="18"/>
          </w:tcPr>
          <w:p>
            <w:pPr>
              <w:ind w:left="760"/>
              <w:spacing w:after="0"/>
              <w:rPr>
                <w:sz w:val="20"/>
                <w:szCs w:val="20"/>
                <w:color w:val="auto"/>
              </w:rPr>
            </w:pPr>
            <w:r>
              <w:rPr>
                <w:rFonts w:ascii="Arial" w:cs="Arial" w:eastAsia="Arial" w:hAnsi="Arial"/>
                <w:sz w:val="18"/>
                <w:szCs w:val="18"/>
                <w:b w:val="1"/>
                <w:bCs w:val="1"/>
                <w:color w:val="auto"/>
              </w:rPr>
              <w:t>Description of Document</w:t>
            </w:r>
          </w:p>
        </w:tc>
        <w:tc>
          <w:tcPr>
            <w:tcW w:w="8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ind w:left="160"/>
              <w:spacing w:after="0"/>
              <w:rPr>
                <w:sz w:val="20"/>
                <w:szCs w:val="20"/>
                <w:color w:val="auto"/>
              </w:rPr>
            </w:pPr>
            <w:r>
              <w:rPr>
                <w:rFonts w:ascii="Arial" w:cs="Arial" w:eastAsia="Arial" w:hAnsi="Arial"/>
                <w:sz w:val="18"/>
                <w:szCs w:val="18"/>
                <w:b w:val="1"/>
                <w:bCs w:val="1"/>
                <w:color w:val="auto"/>
              </w:rPr>
              <w:t>Filing Date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800" w:type="dxa"/>
            <w:vAlign w:val="bottom"/>
          </w:tcPr>
          <w:p>
            <w:pPr>
              <w:ind w:left="180"/>
              <w:spacing w:after="0" w:line="190" w:lineRule="exact"/>
              <w:rPr>
                <w:sz w:val="20"/>
                <w:szCs w:val="20"/>
                <w:color w:val="auto"/>
              </w:rPr>
            </w:pPr>
            <w:r>
              <w:rPr>
                <w:rFonts w:ascii="Arial" w:cs="Arial" w:eastAsia="Arial" w:hAnsi="Arial"/>
                <w:sz w:val="18"/>
                <w:szCs w:val="18"/>
                <w:color w:val="auto"/>
              </w:rPr>
              <w:t>4.2</w:t>
            </w:r>
          </w:p>
        </w:tc>
        <w:tc>
          <w:tcPr>
            <w:tcW w:w="538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Indenture dated as of April 23, 2019, between Aphria Inc. and GLAS Trust</w:t>
              </w:r>
            </w:hyperlink>
          </w:p>
        </w:tc>
        <w:tc>
          <w:tcPr>
            <w:tcW w:w="380" w:type="dxa"/>
            <w:vAlign w:val="bottom"/>
            <w:gridSpan w:val="6"/>
          </w:tcPr>
          <w:p>
            <w:pPr>
              <w:spacing w:after="0"/>
              <w:rPr>
                <w:sz w:val="16"/>
                <w:szCs w:val="16"/>
                <w:color w:val="auto"/>
              </w:rPr>
            </w:pP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87"/>
              </w:rPr>
              <w:t>4.1</w:t>
            </w: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1"/>
              </w:rPr>
              <w:t>5/4/2021</w:t>
            </w:r>
          </w:p>
        </w:tc>
        <w:tc>
          <w:tcPr>
            <w:tcW w:w="1060" w:type="dxa"/>
            <w:vAlign w:val="bottom"/>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Company LLC, relating to Aphria Inc.’s 5.25% Convertible Senior Notes due</w:t>
              </w:r>
            </w:hyperlink>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1">
              <w:r>
                <w:rPr>
                  <w:rFonts w:ascii="Arial" w:cs="Arial" w:eastAsia="Arial" w:hAnsi="Arial"/>
                  <w:sz w:val="18"/>
                  <w:szCs w:val="18"/>
                  <w:color w:val="0000EE"/>
                  <w:w w:val="84"/>
                </w:rPr>
                <w:t>2024</w:t>
              </w:r>
            </w:hyperlink>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5760" w:type="dxa"/>
            <w:vAlign w:val="bottom"/>
            <w:tcBorders>
              <w:bottom w:val="single" w:sz="8" w:color="0000EE"/>
            </w:tcBorders>
            <w:gridSpan w:val="21"/>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First Supplemental Indenture dated as of April 30, 2021, among Aphria Inc., the</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5/4/2021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Registrant and GLAS Trust Company LLC</w:t>
              </w:r>
              <w:r>
                <w:rPr>
                  <w:rFonts w:ascii="Arial" w:cs="Arial" w:eastAsia="Arial" w:hAnsi="Arial"/>
                  <w:sz w:val="18"/>
                  <w:szCs w:val="18"/>
                  <w:color w:val="000000"/>
                </w:rPr>
                <w:t>.</w:t>
              </w:r>
            </w:hyperlink>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31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3"/>
              </w:rPr>
              <w:t>Description of Securities of the Registrant</w:t>
            </w:r>
          </w:p>
        </w:tc>
        <w:tc>
          <w:tcPr>
            <w:tcW w:w="266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12"/>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3020" w:type="dxa"/>
            <w:vAlign w:val="bottom"/>
            <w:tcBorders>
              <w:top w:val="single" w:sz="8" w:color="0000EE"/>
            </w:tcBorders>
            <w:gridSpan w:val="7"/>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Pre-Funded Warrant</w:t>
              </w:r>
            </w:hyperlink>
          </w:p>
        </w:tc>
        <w:tc>
          <w:tcPr>
            <w:tcW w:w="2740" w:type="dxa"/>
            <w:vAlign w:val="bottom"/>
            <w:gridSpan w:val="14"/>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5760" w:type="dxa"/>
            <w:vAlign w:val="bottom"/>
            <w:gridSpan w:val="21"/>
          </w:tcPr>
          <w:p>
            <w:pPr>
              <w:spacing w:after="0"/>
              <w:rPr>
                <w:rFonts w:ascii="Arial" w:cs="Arial" w:eastAsia="Arial" w:hAnsi="Arial"/>
                <w:sz w:val="18"/>
                <w:szCs w:val="18"/>
                <w:color w:val="0000EE"/>
              </w:rPr>
            </w:pPr>
            <w:hyperlink r:id="rId144">
              <w:r>
                <w:rPr>
                  <w:rFonts w:ascii="Arial" w:cs="Arial" w:eastAsia="Arial" w:hAnsi="Arial"/>
                  <w:sz w:val="18"/>
                  <w:szCs w:val="18"/>
                  <w:color w:val="0000EE"/>
                </w:rPr>
                <w:t>Form of Warrant</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ind w:left="180"/>
              <w:spacing w:after="0"/>
              <w:rPr>
                <w:sz w:val="20"/>
                <w:szCs w:val="20"/>
                <w:color w:val="auto"/>
              </w:rPr>
            </w:pPr>
            <w:r>
              <w:rPr>
                <w:rFonts w:ascii="Arial" w:cs="Arial" w:eastAsia="Arial" w:hAnsi="Arial"/>
                <w:sz w:val="18"/>
                <w:szCs w:val="18"/>
                <w:color w:val="auto"/>
              </w:rPr>
              <w:t>4.7</w:t>
            </w:r>
          </w:p>
        </w:tc>
        <w:tc>
          <w:tcPr>
            <w:tcW w:w="5620" w:type="dxa"/>
            <w:vAlign w:val="bottom"/>
            <w:tcBorders>
              <w:bottom w:val="single" w:sz="8" w:color="0000EE"/>
            </w:tcBorders>
            <w:gridSpan w:val="19"/>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Agreement Of Resignation, Appointment and Acceptance, dated as of January</w:t>
              </w:r>
            </w:hyperlink>
          </w:p>
        </w:tc>
        <w:tc>
          <w:tcPr>
            <w:tcW w:w="140" w:type="dxa"/>
            <w:vAlign w:val="bottom"/>
            <w:gridSpan w:val="2"/>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1/28/2022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27, 2022, by and among Tilray Brands, Inc., Glas Trust Company LLC and</w:t>
              </w:r>
            </w:hyperlink>
          </w:p>
        </w:tc>
        <w:tc>
          <w:tcPr>
            <w:tcW w:w="3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Computershare Trust Company, N.A.</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ind w:left="180"/>
              <w:spacing w:after="0"/>
              <w:rPr>
                <w:sz w:val="20"/>
                <w:szCs w:val="20"/>
                <w:color w:val="auto"/>
              </w:rPr>
            </w:pPr>
            <w:r>
              <w:rPr>
                <w:rFonts w:ascii="Arial" w:cs="Arial" w:eastAsia="Arial" w:hAnsi="Arial"/>
                <w:sz w:val="18"/>
                <w:szCs w:val="18"/>
                <w:color w:val="auto"/>
              </w:rPr>
              <w:t>4.8</w:t>
            </w:r>
          </w:p>
        </w:tc>
        <w:tc>
          <w:tcPr>
            <w:tcW w:w="5620" w:type="dxa"/>
            <w:vAlign w:val="bottom"/>
            <w:tcBorders>
              <w:bottom w:val="single" w:sz="8" w:color="0000EE"/>
            </w:tcBorders>
            <w:gridSpan w:val="19"/>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Agreement Of Resignation, Appointment and Acceptance, dated as of January</w:t>
              </w:r>
            </w:hyperlink>
          </w:p>
        </w:tc>
        <w:tc>
          <w:tcPr>
            <w:tcW w:w="140" w:type="dxa"/>
            <w:vAlign w:val="bottom"/>
            <w:gridSpan w:val="2"/>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1/28/2022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27, 2022, by and among Tilray Brands, Inc., Glas Trust Company LLC and</w:t>
              </w:r>
            </w:hyperlink>
          </w:p>
        </w:tc>
        <w:tc>
          <w:tcPr>
            <w:tcW w:w="3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Computershare Trust Company, N.A.</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ind w:left="180"/>
              <w:spacing w:after="0"/>
              <w:rPr>
                <w:sz w:val="20"/>
                <w:szCs w:val="20"/>
                <w:color w:val="auto"/>
              </w:rPr>
            </w:pPr>
            <w:r>
              <w:rPr>
                <w:rFonts w:ascii="Arial" w:cs="Arial" w:eastAsia="Arial" w:hAnsi="Arial"/>
                <w:sz w:val="18"/>
                <w:szCs w:val="18"/>
                <w:color w:val="auto"/>
              </w:rPr>
              <w:t>4.9</w:t>
            </w:r>
          </w:p>
        </w:tc>
        <w:tc>
          <w:tcPr>
            <w:tcW w:w="5620" w:type="dxa"/>
            <w:vAlign w:val="bottom"/>
            <w:tcBorders>
              <w:bottom w:val="single" w:sz="8" w:color="0000EE"/>
            </w:tcBorders>
            <w:gridSpan w:val="19"/>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Agreement Of Resignation, Appointment and Acceptance, dated as of January</w:t>
              </w:r>
            </w:hyperlink>
          </w:p>
        </w:tc>
        <w:tc>
          <w:tcPr>
            <w:tcW w:w="140" w:type="dxa"/>
            <w:vAlign w:val="bottom"/>
            <w:gridSpan w:val="2"/>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4.3</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1/28/2022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27, 2022, by and among Tilray Brands, Inc., Glas Trust Company LLC and</w:t>
              </w:r>
            </w:hyperlink>
          </w:p>
        </w:tc>
        <w:tc>
          <w:tcPr>
            <w:tcW w:w="3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Computershare Trust Company, N.A.</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5760" w:type="dxa"/>
            <w:vAlign w:val="bottom"/>
            <w:gridSpan w:val="21"/>
          </w:tcPr>
          <w:p>
            <w:pPr>
              <w:spacing w:after="0"/>
              <w:rPr>
                <w:rFonts w:ascii="Arial" w:cs="Arial" w:eastAsia="Arial" w:hAnsi="Arial"/>
                <w:sz w:val="18"/>
                <w:szCs w:val="18"/>
                <w:color w:val="0000EE"/>
              </w:rPr>
            </w:pPr>
            <w:hyperlink r:id="rId148">
              <w:r>
                <w:rPr>
                  <w:rFonts w:ascii="Arial" w:cs="Arial" w:eastAsia="Arial" w:hAnsi="Arial"/>
                  <w:sz w:val="18"/>
                  <w:szCs w:val="18"/>
                  <w:color w:val="0000EE"/>
                </w:rPr>
                <w:t>Amended and Restated 2018 Equity Incentive Plan</w:t>
              </w:r>
            </w:hyperlink>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5760" w:type="dxa"/>
            <w:vAlign w:val="bottom"/>
            <w:gridSpan w:val="21"/>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Form of Stock Option Agreement, Notice of Exercise and Stock Option Grant</w:t>
              </w:r>
            </w:hyperlink>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10.3</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Notice under the Amended and Restated 2018 Equity Incentive Plan</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225741</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5280" w:type="dxa"/>
            <w:vAlign w:val="bottom"/>
            <w:tcBorders>
              <w:bottom w:val="single" w:sz="8" w:color="0000EE"/>
            </w:tcBorders>
            <w:gridSpan w:val="14"/>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Form of Restricted Stock Unit Award Agreement under the Amended and</w:t>
              </w:r>
            </w:hyperlink>
          </w:p>
        </w:tc>
        <w:tc>
          <w:tcPr>
            <w:tcW w:w="480" w:type="dxa"/>
            <w:vAlign w:val="bottom"/>
            <w:gridSpan w:val="7"/>
          </w:tcPr>
          <w:p>
            <w:pPr>
              <w:spacing w:after="0"/>
              <w:rPr>
                <w:sz w:val="24"/>
                <w:szCs w:val="24"/>
                <w:color w:val="auto"/>
              </w:rPr>
            </w:pP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Restated 2018 Equity Incentive Plan</w:t>
              </w:r>
            </w:hyperlink>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225741</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5620" w:type="dxa"/>
            <w:vAlign w:val="bottom"/>
            <w:tcBorders>
              <w:bottom w:val="single" w:sz="8" w:color="0000EE"/>
            </w:tcBorders>
            <w:gridSpan w:val="19"/>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Form of Indemnity Agreement by and between the Registrant and its directors</w:t>
              </w:r>
            </w:hyperlink>
          </w:p>
        </w:tc>
        <w:tc>
          <w:tcPr>
            <w:tcW w:w="140" w:type="dxa"/>
            <w:vAlign w:val="bottom"/>
            <w:gridSpan w:val="2"/>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8/10/2020</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and officers</w:t>
              </w:r>
            </w:hyperlink>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5760" w:type="dxa"/>
            <w:vAlign w:val="bottom"/>
            <w:gridSpan w:val="21"/>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Product and Trademark License Terms &amp; Conditions, between Docklight LLC,</w:t>
              </w:r>
            </w:hyperlink>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2/19/2021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and High Park Holdings Ltd, dated December 17, 2018</w:t>
              </w:r>
            </w:hyperlink>
          </w:p>
        </w:tc>
        <w:tc>
          <w:tcPr>
            <w:tcW w:w="170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5760" w:type="dxa"/>
            <w:vAlign w:val="bottom"/>
            <w:gridSpan w:val="21"/>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First Amendment to Product and Trademark Licensing Agreement between</w:t>
              </w:r>
            </w:hyperlink>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10.12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2/19/2021</w:t>
            </w:r>
          </w:p>
        </w:tc>
        <w:tc>
          <w:tcPr>
            <w:tcW w:w="10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760" w:type="dxa"/>
            <w:vAlign w:val="bottom"/>
            <w:gridSpan w:val="21"/>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Docklight Brands, Inc., successor to Docklight, LLC, and High Park Holdings</w:t>
              </w:r>
            </w:hyperlink>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Ltd, dated December 3, 2020</w:t>
              </w:r>
            </w:hyperlink>
          </w:p>
        </w:tc>
        <w:tc>
          <w:tcPr>
            <w:tcW w:w="3520" w:type="dxa"/>
            <w:vAlign w:val="bottom"/>
            <w:tcBorders>
              <w:top w:val="single" w:sz="8" w:color="0000EE"/>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5120" w:type="dxa"/>
            <w:vAlign w:val="bottom"/>
            <w:tcBorders>
              <w:bottom w:val="single" w:sz="8" w:color="0000EE"/>
            </w:tcBorders>
            <w:gridSpan w:val="13"/>
          </w:tcPr>
          <w:p>
            <w:pPr>
              <w:spacing w:after="0"/>
              <w:rPr>
                <w:rFonts w:ascii="Arial" w:cs="Arial" w:eastAsia="Arial" w:hAnsi="Arial"/>
                <w:sz w:val="18"/>
                <w:szCs w:val="18"/>
                <w:color w:val="0000EE"/>
                <w:w w:val="88"/>
              </w:rPr>
            </w:pPr>
            <w:hyperlink r:id="rId154">
              <w:r>
                <w:rPr>
                  <w:rFonts w:ascii="Arial" w:cs="Arial" w:eastAsia="Arial" w:hAnsi="Arial"/>
                  <w:sz w:val="18"/>
                  <w:szCs w:val="18"/>
                  <w:color w:val="0000EE"/>
                  <w:w w:val="88"/>
                </w:rPr>
                <w:t>Common Share Purchase Warrant Agreement, between Aphria Inc. and</w:t>
              </w:r>
            </w:hyperlink>
          </w:p>
        </w:tc>
        <w:tc>
          <w:tcPr>
            <w:tcW w:w="640" w:type="dxa"/>
            <w:vAlign w:val="bottom"/>
            <w:gridSpan w:val="8"/>
          </w:tcPr>
          <w:p>
            <w:pPr>
              <w:spacing w:after="0"/>
              <w:rPr>
                <w:sz w:val="24"/>
                <w:szCs w:val="24"/>
                <w:color w:val="auto"/>
              </w:rPr>
            </w:pP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10.39</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7/28/2021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Computershare Trust Company of Canada, dated January 30, 2020</w:t>
              </w:r>
            </w:hyperlink>
          </w:p>
        </w:tc>
        <w:tc>
          <w:tcPr>
            <w:tcW w:w="9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2"/>
        </w:trPr>
        <w:tc>
          <w:tcPr>
            <w:tcW w:w="800" w:type="dxa"/>
            <w:vAlign w:val="bottom"/>
          </w:tcPr>
          <w:p>
            <w:pPr>
              <w:spacing w:after="0"/>
              <w:rPr>
                <w:sz w:val="24"/>
                <w:szCs w:val="24"/>
                <w:color w:val="auto"/>
              </w:rPr>
            </w:pPr>
          </w:p>
        </w:tc>
        <w:tc>
          <w:tcPr>
            <w:tcW w:w="5120" w:type="dxa"/>
            <w:vAlign w:val="bottom"/>
            <w:gridSpan w:val="13"/>
          </w:tcPr>
          <w:p>
            <w:pPr>
              <w:ind w:left="468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Incorporate by Reference</w:t>
            </w: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80" w:type="dxa"/>
            <w:vAlign w:val="bottom"/>
            <w:gridSpan w:val="19"/>
          </w:tcPr>
          <w:p>
            <w:pPr>
              <w:ind w:left="180"/>
              <w:spacing w:after="0"/>
              <w:rPr>
                <w:sz w:val="20"/>
                <w:szCs w:val="20"/>
                <w:color w:val="auto"/>
              </w:rPr>
            </w:pPr>
            <w:r>
              <w:rPr>
                <w:rFonts w:ascii="Arial" w:cs="Arial" w:eastAsia="Arial" w:hAnsi="Arial"/>
                <w:sz w:val="18"/>
                <w:szCs w:val="18"/>
                <w:b w:val="1"/>
                <w:bCs w:val="1"/>
                <w:color w:val="auto"/>
              </w:rPr>
              <w:t>Description of Document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ind w:left="160"/>
              <w:spacing w:after="0"/>
              <w:rPr>
                <w:sz w:val="20"/>
                <w:szCs w:val="20"/>
                <w:color w:val="auto"/>
              </w:rPr>
            </w:pPr>
            <w:r>
              <w:rPr>
                <w:rFonts w:ascii="Arial" w:cs="Arial" w:eastAsia="Arial" w:hAnsi="Arial"/>
                <w:sz w:val="18"/>
                <w:szCs w:val="18"/>
                <w:b w:val="1"/>
                <w:bCs w:val="1"/>
                <w:color w:val="auto"/>
              </w:rPr>
              <w:t>Filing Date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5860" w:type="dxa"/>
            <w:vAlign w:val="bottom"/>
            <w:gridSpan w:val="24"/>
          </w:tcPr>
          <w:p>
            <w:pPr>
              <w:spacing w:after="0" w:line="190"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Amended and Restated Credit Agreement between 1974568 Ontario Limited, as</w:t>
              </w:r>
            </w:hyperlink>
          </w:p>
        </w:tc>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0"/>
              </w:rPr>
              <w:t>11/29/2022</w:t>
            </w:r>
          </w:p>
        </w:tc>
        <w:tc>
          <w:tcPr>
            <w:tcW w:w="1060" w:type="dxa"/>
            <w:vAlign w:val="bottom"/>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5760" w:type="dxa"/>
            <w:vAlign w:val="bottom"/>
            <w:tcBorders>
              <w:top w:val="single" w:sz="8" w:color="0000EE"/>
            </w:tcBorders>
            <w:gridSpan w:val="21"/>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borrower, certain of its subsidiaries as guarantors, Aphria Inc., as guarantor, and</w:t>
              </w:r>
            </w:hyperlink>
          </w:p>
        </w:tc>
        <w:tc>
          <w:tcPr>
            <w:tcW w:w="1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Bank of Montreal, as administrative agent, and Bank of Montreal, ATB Financial</w:t>
              </w:r>
            </w:hyperlink>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and Farm Credit Canada, as lenders, dated November 28, 2022</w:t>
              </w:r>
            </w:hyperlink>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Agreement of Merger and Acquisition, among Aphria Inc., Project Golf Merger</w:t>
              </w:r>
            </w:hyperlink>
          </w:p>
        </w:tc>
        <w:tc>
          <w:tcPr>
            <w:tcW w:w="120" w:type="dxa"/>
            <w:vAlign w:val="bottom"/>
            <w:gridSpan w:val="4"/>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10.41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7/28/2021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Sub, LLC, SW Brewing Company, LLC, SWBC Craft Holdings LP, SWBC</w:t>
              </w:r>
            </w:hyperlink>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w w:val="98"/>
              </w:rPr>
            </w:pPr>
            <w:hyperlink r:id="rId156">
              <w:r>
                <w:rPr>
                  <w:rFonts w:ascii="Arial" w:cs="Arial" w:eastAsia="Arial" w:hAnsi="Arial"/>
                  <w:sz w:val="18"/>
                  <w:szCs w:val="18"/>
                  <w:color w:val="0000EE"/>
                  <w:w w:val="98"/>
                </w:rPr>
                <w:t>Craft Management, LLC, SWBC Blocker Seller, LP, and Chilly Water, LLC,</w:t>
              </w:r>
            </w:hyperlink>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dated November 4, 2020</w:t>
              </w:r>
            </w:hyperlink>
          </w:p>
        </w:tc>
        <w:tc>
          <w:tcPr>
            <w:tcW w:w="3720" w:type="dxa"/>
            <w:vAlign w:val="bottom"/>
            <w:tcBorders>
              <w:top w:val="single" w:sz="8" w:color="0000EE"/>
            </w:tcBorders>
            <w:gridSpan w:val="8"/>
          </w:tcPr>
          <w:p>
            <w:pPr>
              <w:spacing w:after="0"/>
              <w:rPr>
                <w:sz w:val="17"/>
                <w:szCs w:val="17"/>
                <w:color w:val="auto"/>
              </w:rPr>
            </w:pPr>
          </w:p>
        </w:tc>
        <w:tc>
          <w:tcPr>
            <w:tcW w:w="36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Employment Agreement by and between the Registrant and Irwin Simon, dated</w:t>
              </w:r>
            </w:hyperlink>
          </w:p>
        </w:tc>
        <w:tc>
          <w:tcPr>
            <w:tcW w:w="120" w:type="dxa"/>
            <w:vAlign w:val="bottom"/>
            <w:gridSpan w:val="4"/>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August 28, 2021</w:t>
              </w:r>
            </w:hyperlink>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5860" w:type="dxa"/>
            <w:vAlign w:val="bottom"/>
            <w:gridSpan w:val="24"/>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Employment Agreement by and between the Registrant and Denise Faltischek,</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dated August 28, 2021</w:t>
              </w:r>
            </w:hyperlink>
          </w:p>
        </w:tc>
        <w:tc>
          <w:tcPr>
            <w:tcW w:w="404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5640" w:type="dxa"/>
            <w:vAlign w:val="bottom"/>
            <w:tcBorders>
              <w:bottom w:val="single" w:sz="8" w:color="0000EE"/>
            </w:tcBorders>
            <w:gridSpan w:val="17"/>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Employment Agreement by and between the Registrant and Jim Meiers, dated</w:t>
              </w:r>
            </w:hyperlink>
          </w:p>
        </w:tc>
        <w:tc>
          <w:tcPr>
            <w:tcW w:w="220" w:type="dxa"/>
            <w:vAlign w:val="bottom"/>
            <w:gridSpan w:val="7"/>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10.3</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August 28, 2021</w:t>
              </w:r>
            </w:hyperlink>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5700" w:type="dxa"/>
            <w:vAlign w:val="bottom"/>
            <w:tcBorders>
              <w:bottom w:val="single" w:sz="8" w:color="0000EE"/>
            </w:tcBorders>
            <w:gridSpan w:val="19"/>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Employment Agreement by and between the Registrant and Carl Merton, dated</w:t>
              </w:r>
            </w:hyperlink>
          </w:p>
        </w:tc>
        <w:tc>
          <w:tcPr>
            <w:tcW w:w="160" w:type="dxa"/>
            <w:vAlign w:val="bottom"/>
            <w:gridSpan w:val="5"/>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August 28, 2021</w:t>
              </w:r>
            </w:hyperlink>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5560" w:type="dxa"/>
            <w:vAlign w:val="bottom"/>
            <w:tcBorders>
              <w:bottom w:val="single" w:sz="8" w:color="0000EE"/>
            </w:tcBorders>
            <w:gridSpan w:val="1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Employment Agreement by and between the Registrant and Mitchell Gendel,</w:t>
              </w:r>
            </w:hyperlink>
          </w:p>
        </w:tc>
        <w:tc>
          <w:tcPr>
            <w:tcW w:w="300" w:type="dxa"/>
            <w:vAlign w:val="bottom"/>
            <w:gridSpan w:val="9"/>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740" w:type="dxa"/>
            <w:vAlign w:val="bottom"/>
          </w:tcPr>
          <w:p>
            <w:pPr>
              <w:ind w:left="20"/>
              <w:spacing w:after="0"/>
              <w:rPr>
                <w:sz w:val="20"/>
                <w:szCs w:val="20"/>
                <w:color w:val="auto"/>
              </w:rPr>
            </w:pPr>
            <w:r>
              <w:rPr>
                <w:rFonts w:ascii="Arial" w:cs="Arial" w:eastAsia="Arial" w:hAnsi="Arial"/>
                <w:sz w:val="18"/>
                <w:szCs w:val="18"/>
                <w:color w:val="auto"/>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10.14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7/28/2022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dated July 26, 2021</w:t>
              </w:r>
            </w:hyperlink>
          </w:p>
        </w:tc>
        <w:tc>
          <w:tcPr>
            <w:tcW w:w="740" w:type="dxa"/>
            <w:vAlign w:val="bottom"/>
          </w:tcPr>
          <w:p>
            <w:pPr>
              <w:spacing w:after="0"/>
              <w:rPr>
                <w:sz w:val="17"/>
                <w:szCs w:val="17"/>
                <w:color w:val="auto"/>
              </w:rPr>
            </w:pP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5440" w:type="dxa"/>
            <w:vAlign w:val="bottom"/>
            <w:tcBorders>
              <w:bottom w:val="single" w:sz="8" w:color="0000EE"/>
            </w:tcBorders>
            <w:gridSpan w:val="11"/>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Assignment and Assumption Agreement with Gotham Green Partners, LLC</w:t>
              </w:r>
            </w:hyperlink>
          </w:p>
        </w:tc>
        <w:tc>
          <w:tcPr>
            <w:tcW w:w="420" w:type="dxa"/>
            <w:vAlign w:val="bottom"/>
            <w:gridSpan w:val="13"/>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dated August 17, 2021</w:t>
              </w:r>
            </w:hyperlink>
          </w:p>
        </w:tc>
        <w:tc>
          <w:tcPr>
            <w:tcW w:w="424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5860" w:type="dxa"/>
            <w:vAlign w:val="bottom"/>
            <w:gridSpan w:val="24"/>
          </w:tcPr>
          <w:p>
            <w:pPr>
              <w:spacing w:after="0"/>
              <w:rPr>
                <w:rFonts w:ascii="Arial" w:cs="Arial" w:eastAsia="Arial" w:hAnsi="Arial"/>
                <w:sz w:val="18"/>
                <w:szCs w:val="18"/>
                <w:color w:val="0000EE"/>
                <w:w w:val="93"/>
              </w:rPr>
            </w:pPr>
            <w:hyperlink r:id="rId163">
              <w:r>
                <w:rPr>
                  <w:rFonts w:ascii="Arial" w:cs="Arial" w:eastAsia="Arial" w:hAnsi="Arial"/>
                  <w:sz w:val="18"/>
                  <w:szCs w:val="18"/>
                  <w:color w:val="0000EE"/>
                  <w:w w:val="93"/>
                </w:rPr>
                <w:t>Assignment and Assumption Agreement with Parallax Master Fund, L.P. dated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August 17, 2021</w:t>
              </w:r>
            </w:hyperlink>
          </w:p>
        </w:tc>
        <w:tc>
          <w:tcPr>
            <w:tcW w:w="2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5860" w:type="dxa"/>
            <w:vAlign w:val="bottom"/>
            <w:gridSpan w:val="24"/>
          </w:tcPr>
          <w:p>
            <w:pPr>
              <w:spacing w:after="0"/>
              <w:rPr>
                <w:rFonts w:ascii="Arial" w:cs="Arial" w:eastAsia="Arial" w:hAnsi="Arial"/>
                <w:sz w:val="18"/>
                <w:szCs w:val="18"/>
                <w:color w:val="0000EE"/>
                <w:w w:val="97"/>
              </w:rPr>
            </w:pPr>
            <w:hyperlink r:id="rId164">
              <w:r>
                <w:rPr>
                  <w:rFonts w:ascii="Arial" w:cs="Arial" w:eastAsia="Arial" w:hAnsi="Arial"/>
                  <w:sz w:val="18"/>
                  <w:szCs w:val="18"/>
                  <w:color w:val="0000EE"/>
                  <w:w w:val="97"/>
                </w:rPr>
                <w:t>Assignment and Assumption Agreement with Pura Vida Master Fund, LTD.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10.7</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dated August 17, 2021</w:t>
              </w:r>
            </w:hyperlink>
          </w:p>
        </w:tc>
        <w:tc>
          <w:tcPr>
            <w:tcW w:w="3820" w:type="dxa"/>
            <w:vAlign w:val="bottom"/>
            <w:tcBorders>
              <w:top w:val="single" w:sz="8" w:color="0000EE"/>
            </w:tcBorders>
            <w:gridSpan w:val="7"/>
          </w:tcPr>
          <w:p>
            <w:pPr>
              <w:spacing w:after="0"/>
              <w:rPr>
                <w:sz w:val="17"/>
                <w:szCs w:val="17"/>
                <w:color w:val="auto"/>
              </w:rPr>
            </w:pPr>
          </w:p>
        </w:tc>
        <w:tc>
          <w:tcPr>
            <w:tcW w:w="42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5860" w:type="dxa"/>
            <w:vAlign w:val="bottom"/>
            <w:gridSpan w:val="24"/>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Fourth Amended and Restated Securities Purchase Agreement by and among</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10.8</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52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MedMen Enterprises Inc., MM CAN USA, Inc., Credit Parties, and Gotham</w:t>
              </w:r>
            </w:hyperlink>
          </w:p>
        </w:tc>
        <w:tc>
          <w:tcPr>
            <w:tcW w:w="34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Green Admin 1, LLC, dated August 17, 2021</w:t>
              </w:r>
            </w:hyperlink>
          </w:p>
        </w:tc>
        <w:tc>
          <w:tcPr>
            <w:tcW w:w="38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10.19</w:t>
            </w:r>
          </w:p>
        </w:tc>
        <w:tc>
          <w:tcPr>
            <w:tcW w:w="5860" w:type="dxa"/>
            <w:vAlign w:val="bottom"/>
            <w:gridSpan w:val="24"/>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MedMen Enterprises Inc., MM CAN USA, Inc., Fourth Amended and Restated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10.9</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Senior Secured Convertible Note, dated August 17, 2021</w:t>
              </w:r>
            </w:hyperlink>
          </w:p>
        </w:tc>
        <w:tc>
          <w:tcPr>
            <w:tcW w:w="1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5860" w:type="dxa"/>
            <w:vAlign w:val="bottom"/>
            <w:gridSpan w:val="24"/>
          </w:tcPr>
          <w:p>
            <w:pPr>
              <w:spacing w:after="0"/>
              <w:rPr>
                <w:rFonts w:ascii="Arial" w:cs="Arial" w:eastAsia="Arial" w:hAnsi="Arial"/>
                <w:sz w:val="18"/>
                <w:szCs w:val="18"/>
                <w:color w:val="0000EE"/>
              </w:rPr>
            </w:pPr>
            <w:hyperlink r:id="rId167">
              <w:r>
                <w:rPr>
                  <w:rFonts w:ascii="Arial" w:cs="Arial" w:eastAsia="Arial" w:hAnsi="Arial"/>
                  <w:sz w:val="18"/>
                  <w:szCs w:val="18"/>
                  <w:color w:val="0000EE"/>
                </w:rPr>
                <w:t>Amended and Restated Warrant Certificate, dated August 17, 2021</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10.10</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10.21</w:t>
            </w:r>
          </w:p>
        </w:tc>
        <w:tc>
          <w:tcPr>
            <w:tcW w:w="5860" w:type="dxa"/>
            <w:vAlign w:val="bottom"/>
            <w:gridSpan w:val="24"/>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Limited Partnership Agreement of Superhero Acquisition L.P., dated August 17.</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68">
              <w:r>
                <w:rPr>
                  <w:rFonts w:ascii="Arial" w:cs="Arial" w:eastAsia="Arial" w:hAnsi="Arial"/>
                  <w:sz w:val="18"/>
                  <w:szCs w:val="18"/>
                  <w:color w:val="0000EE"/>
                  <w:w w:val="84"/>
                </w:rPr>
                <w:t>2021</w:t>
              </w:r>
            </w:hyperlink>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10.22</w:t>
            </w:r>
          </w:p>
        </w:tc>
        <w:tc>
          <w:tcPr>
            <w:tcW w:w="5620" w:type="dxa"/>
            <w:vAlign w:val="bottom"/>
            <w:tcBorders>
              <w:bottom w:val="single" w:sz="8" w:color="0000EE"/>
            </w:tcBorders>
            <w:gridSpan w:val="16"/>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Shareholders’ Agreement among Superhero Acquisition Corp. and Tilray, Inc.</w:t>
              </w:r>
            </w:hyperlink>
          </w:p>
        </w:tc>
        <w:tc>
          <w:tcPr>
            <w:tcW w:w="24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10.12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10/7/2021</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60" w:type="dxa"/>
            <w:vAlign w:val="bottom"/>
            <w:gridSpan w:val="24"/>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and MOS Holdings Inc., dated August 17, 2021</w:t>
              </w:r>
            </w:hyperlink>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420" w:type="dxa"/>
            <w:vAlign w:val="bottom"/>
            <w:gridSpan w:val="7"/>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10.23</w:t>
            </w:r>
          </w:p>
        </w:tc>
        <w:tc>
          <w:tcPr>
            <w:tcW w:w="5860" w:type="dxa"/>
            <w:vAlign w:val="bottom"/>
            <w:gridSpan w:val="24"/>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Second Amendment to Credit Agreement with the Bank of Montreal, dated as of</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1/10/2022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December 8, 2020, amended December 7, 2021</w:t>
              </w:r>
            </w:hyperlink>
          </w:p>
        </w:tc>
        <w:tc>
          <w:tcPr>
            <w:tcW w:w="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3420" w:type="dxa"/>
            <w:vAlign w:val="bottom"/>
            <w:tcBorders>
              <w:top w:val="single" w:sz="8" w:color="0000EE"/>
            </w:tcBorders>
            <w:gridSpan w:val="7"/>
          </w:tcPr>
          <w:p>
            <w:pPr>
              <w:spacing w:after="0"/>
              <w:rPr>
                <w:sz w:val="24"/>
                <w:szCs w:val="2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Incorporate by Reference</w:t>
            </w: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740" w:type="dxa"/>
            <w:vAlign w:val="bottom"/>
          </w:tcPr>
          <w:p>
            <w:pPr>
              <w:ind w:left="220"/>
              <w:spacing w:after="0"/>
              <w:rPr>
                <w:sz w:val="20"/>
                <w:szCs w:val="20"/>
                <w:color w:val="auto"/>
              </w:rPr>
            </w:pPr>
            <w:r>
              <w:rPr>
                <w:rFonts w:ascii="Arial" w:cs="Arial" w:eastAsia="Arial" w:hAnsi="Arial"/>
                <w:sz w:val="18"/>
                <w:szCs w:val="18"/>
                <w:b w:val="1"/>
                <w:bCs w:val="1"/>
                <w:color w:val="auto"/>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80" w:type="dxa"/>
            <w:vAlign w:val="bottom"/>
            <w:gridSpan w:val="24"/>
          </w:tcPr>
          <w:p>
            <w:pPr>
              <w:ind w:left="740"/>
              <w:spacing w:after="0"/>
              <w:rPr>
                <w:sz w:val="20"/>
                <w:szCs w:val="20"/>
                <w:color w:val="auto"/>
              </w:rPr>
            </w:pPr>
            <w:r>
              <w:rPr>
                <w:rFonts w:ascii="Arial" w:cs="Arial" w:eastAsia="Arial" w:hAnsi="Arial"/>
                <w:sz w:val="18"/>
                <w:szCs w:val="18"/>
                <w:b w:val="1"/>
                <w:bCs w:val="1"/>
                <w:color w:val="auto"/>
              </w:rPr>
              <w:t>Description of Document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w w:val="99"/>
              </w:rPr>
              <w:t>Number</w:t>
            </w: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Filing Date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5800" w:type="dxa"/>
            <w:vAlign w:val="bottom"/>
            <w:gridSpan w:val="27"/>
          </w:tcPr>
          <w:p>
            <w:pPr>
              <w:spacing w:after="0" w:line="190"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Form of Amended and Restated Senior Secured Convertible Note due 2026,</w:t>
              </w:r>
            </w:hyperlink>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85"/>
              </w:rPr>
              <w:t>10.3</w:t>
            </w:r>
          </w:p>
        </w:tc>
        <w:tc>
          <w:tcPr>
            <w:tcW w:w="1220" w:type="dxa"/>
            <w:vAlign w:val="bottom"/>
          </w:tcPr>
          <w:p>
            <w:pPr>
              <w:jc w:val="right"/>
              <w:ind w:right="170"/>
              <w:spacing w:after="0" w:line="190" w:lineRule="exact"/>
              <w:rPr>
                <w:sz w:val="20"/>
                <w:szCs w:val="20"/>
                <w:color w:val="auto"/>
              </w:rPr>
            </w:pPr>
            <w:r>
              <w:rPr>
                <w:rFonts w:ascii="Arial" w:cs="Arial" w:eastAsia="Arial" w:hAnsi="Arial"/>
                <w:sz w:val="18"/>
                <w:szCs w:val="18"/>
                <w:color w:val="auto"/>
              </w:rPr>
              <w:t>7/12/2022</w:t>
            </w:r>
          </w:p>
        </w:tc>
        <w:tc>
          <w:tcPr>
            <w:tcW w:w="1060" w:type="dxa"/>
            <w:vAlign w:val="bottom"/>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issued and owing by HEXO Corp. to the Company</w:t>
              </w:r>
            </w:hyperlink>
          </w:p>
        </w:tc>
        <w:tc>
          <w:tcPr>
            <w:tcW w:w="1800" w:type="dxa"/>
            <w:vAlign w:val="bottom"/>
            <w:tcBorders>
              <w:top w:val="single" w:sz="8" w:color="0000EE"/>
            </w:tcBorders>
            <w:gridSpan w:val="9"/>
          </w:tcPr>
          <w:p>
            <w:pPr>
              <w:spacing w:after="0"/>
              <w:rPr>
                <w:sz w:val="17"/>
                <w:szCs w:val="17"/>
                <w:color w:val="auto"/>
              </w:rPr>
            </w:pPr>
          </w:p>
        </w:tc>
        <w:tc>
          <w:tcPr>
            <w:tcW w:w="34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10.25</w:t>
            </w:r>
          </w:p>
        </w:tc>
        <w:tc>
          <w:tcPr>
            <w:tcW w:w="5700" w:type="dxa"/>
            <w:vAlign w:val="bottom"/>
            <w:tcBorders>
              <w:bottom w:val="single" w:sz="8" w:color="0000EE"/>
            </w:tcBorders>
            <w:gridSpan w:val="23"/>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Amending Agreement to Transaction Agreement, dated as of June 14, 2022, by</w:t>
              </w:r>
            </w:hyperlink>
          </w:p>
        </w:tc>
        <w:tc>
          <w:tcPr>
            <w:tcW w:w="1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6/14/2022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00" w:type="dxa"/>
            <w:vAlign w:val="bottom"/>
            <w:gridSpan w:val="2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and among the Company, HT Investments MA LLC and HEXO</w:t>
              </w:r>
            </w:hyperlink>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10.26</w:t>
            </w:r>
          </w:p>
        </w:tc>
        <w:tc>
          <w:tcPr>
            <w:tcW w:w="5480" w:type="dxa"/>
            <w:vAlign w:val="bottom"/>
            <w:tcBorders>
              <w:bottom w:val="single" w:sz="8" w:color="0000EE"/>
            </w:tcBorders>
            <w:gridSpan w:val="19"/>
          </w:tcPr>
          <w:p>
            <w:pPr>
              <w:spacing w:after="0"/>
              <w:rPr>
                <w:rFonts w:ascii="Arial" w:cs="Arial" w:eastAsia="Arial" w:hAnsi="Arial"/>
                <w:sz w:val="18"/>
                <w:szCs w:val="18"/>
                <w:color w:val="0000EE"/>
                <w:w w:val="88"/>
              </w:rPr>
            </w:pPr>
            <w:hyperlink r:id="rId173">
              <w:r>
                <w:rPr>
                  <w:rFonts w:ascii="Arial" w:cs="Arial" w:eastAsia="Arial" w:hAnsi="Arial"/>
                  <w:sz w:val="18"/>
                  <w:szCs w:val="18"/>
                  <w:color w:val="0000EE"/>
                  <w:w w:val="88"/>
                </w:rPr>
                <w:t>Amended and Restated Assignment and Assumption Agreement, dated as of</w:t>
              </w:r>
            </w:hyperlink>
          </w:p>
        </w:tc>
        <w:tc>
          <w:tcPr>
            <w:tcW w:w="32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6/14/2022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00" w:type="dxa"/>
            <w:vAlign w:val="bottom"/>
            <w:gridSpan w:val="27"/>
          </w:tcPr>
          <w:p>
            <w:pPr>
              <w:spacing w:after="0" w:line="196" w:lineRule="exact"/>
              <w:rPr>
                <w:rFonts w:ascii="Arial" w:cs="Arial" w:eastAsia="Arial" w:hAnsi="Arial"/>
                <w:sz w:val="18"/>
                <w:szCs w:val="18"/>
                <w:color w:val="0000EE"/>
                <w:w w:val="97"/>
              </w:rPr>
            </w:pPr>
            <w:hyperlink r:id="rId173">
              <w:r>
                <w:rPr>
                  <w:rFonts w:ascii="Arial" w:cs="Arial" w:eastAsia="Arial" w:hAnsi="Arial"/>
                  <w:sz w:val="18"/>
                  <w:szCs w:val="18"/>
                  <w:color w:val="0000EE"/>
                  <w:w w:val="97"/>
                </w:rPr>
                <w:t>June 14, 2022, by and among the Company, HT Investments MA LLC and</w:t>
              </w:r>
            </w:hyperlink>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HEXO</w:t>
              </w:r>
            </w:hyperlink>
          </w:p>
        </w:tc>
        <w:tc>
          <w:tcPr>
            <w:tcW w:w="4860" w:type="dxa"/>
            <w:vAlign w:val="bottom"/>
            <w:tcBorders>
              <w:top w:val="single" w:sz="8" w:color="0000EE"/>
            </w:tcBorders>
            <w:gridSpan w:val="15"/>
          </w:tcPr>
          <w:p>
            <w:pPr>
              <w:spacing w:after="0"/>
              <w:rPr>
                <w:sz w:val="17"/>
                <w:szCs w:val="17"/>
                <w:color w:val="auto"/>
              </w:rPr>
            </w:pPr>
          </w:p>
        </w:tc>
        <w:tc>
          <w:tcPr>
            <w:tcW w:w="44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10.27</w:t>
            </w:r>
          </w:p>
        </w:tc>
        <w:tc>
          <w:tcPr>
            <w:tcW w:w="5600" w:type="dxa"/>
            <w:vAlign w:val="bottom"/>
            <w:tcBorders>
              <w:bottom w:val="single" w:sz="8" w:color="0000EE"/>
            </w:tcBorders>
            <w:gridSpan w:val="21"/>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Amending Agreement to Amended and Restated Assignment and Assumption</w:t>
              </w:r>
            </w:hyperlink>
          </w:p>
        </w:tc>
        <w:tc>
          <w:tcPr>
            <w:tcW w:w="20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7/12/2022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Agreement, dated as of July 12, 2022, by and among the Company, HT</w:t>
              </w:r>
            </w:hyperlink>
          </w:p>
        </w:tc>
        <w:tc>
          <w:tcPr>
            <w:tcW w:w="68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Investments MA LLC and HEXO</w:t>
              </w:r>
            </w:hyperlink>
          </w:p>
        </w:tc>
        <w:tc>
          <w:tcPr>
            <w:tcW w:w="3360" w:type="dxa"/>
            <w:vAlign w:val="bottom"/>
            <w:gridSpan w:val="22"/>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10.28</w:t>
            </w:r>
          </w:p>
        </w:tc>
        <w:tc>
          <w:tcPr>
            <w:tcW w:w="5800" w:type="dxa"/>
            <w:vAlign w:val="bottom"/>
            <w:gridSpan w:val="27"/>
          </w:tcPr>
          <w:p>
            <w:pPr>
              <w:spacing w:after="0"/>
              <w:rPr>
                <w:rFonts w:ascii="Arial" w:cs="Arial" w:eastAsia="Arial" w:hAnsi="Arial"/>
                <w:sz w:val="18"/>
                <w:szCs w:val="18"/>
                <w:color w:val="0000EE"/>
                <w:w w:val="96"/>
              </w:rPr>
            </w:pPr>
            <w:hyperlink r:id="rId175">
              <w:r>
                <w:rPr>
                  <w:rFonts w:ascii="Arial" w:cs="Arial" w:eastAsia="Arial" w:hAnsi="Arial"/>
                  <w:sz w:val="18"/>
                  <w:szCs w:val="18"/>
                  <w:color w:val="0000EE"/>
                  <w:w w:val="96"/>
                </w:rPr>
                <w:t>Form of Convertible Note due September 1, 2023, issued and owing by the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7/12/2022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Company to HTI</w:t>
              </w:r>
            </w:hyperlink>
          </w:p>
        </w:tc>
        <w:tc>
          <w:tcPr>
            <w:tcW w:w="4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10.29</w:t>
            </w:r>
          </w:p>
        </w:tc>
        <w:tc>
          <w:tcPr>
            <w:tcW w:w="5680" w:type="dxa"/>
            <w:vAlign w:val="bottom"/>
            <w:tcBorders>
              <w:bottom w:val="single" w:sz="8" w:color="0000EE"/>
            </w:tcBorders>
            <w:gridSpan w:val="22"/>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Amended and Restated Senior Secured Convertible Note, due 2026, dated July</w:t>
              </w:r>
            </w:hyperlink>
          </w:p>
        </w:tc>
        <w:tc>
          <w:tcPr>
            <w:tcW w:w="12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7/12/2022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12, 2022, issued and owing to by the Company to HEXO</w:t>
              </w:r>
            </w:hyperlink>
          </w:p>
        </w:tc>
        <w:tc>
          <w:tcPr>
            <w:tcW w:w="168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10.30</w:t>
            </w:r>
          </w:p>
        </w:tc>
        <w:tc>
          <w:tcPr>
            <w:tcW w:w="5800" w:type="dxa"/>
            <w:vAlign w:val="bottom"/>
            <w:tcBorders>
              <w:bottom w:val="single" w:sz="8" w:color="0000EE"/>
            </w:tcBorders>
            <w:gridSpan w:val="27"/>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Indenture dated as of May 27, 2021, by and between HEXO Corp. as issuer, and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7/12/2022</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GLAS Trust Company LLC, as trustee</w:t>
              </w:r>
            </w:hyperlink>
          </w:p>
        </w:tc>
        <w:tc>
          <w:tcPr>
            <w:tcW w:w="3020" w:type="dxa"/>
            <w:vAlign w:val="bottom"/>
            <w:gridSpan w:val="20"/>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10.31</w:t>
            </w:r>
          </w:p>
        </w:tc>
        <w:tc>
          <w:tcPr>
            <w:tcW w:w="5780" w:type="dxa"/>
            <w:vAlign w:val="bottom"/>
            <w:tcBorders>
              <w:bottom w:val="single" w:sz="8" w:color="0000EE"/>
            </w:tcBorders>
            <w:gridSpan w:val="26"/>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Voting Agreement, dated as of February 21, 2023, by and between the Company</w:t>
              </w:r>
            </w:hyperlink>
          </w:p>
        </w:tc>
        <w:tc>
          <w:tcPr>
            <w:tcW w:w="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ind w:left="20"/>
              <w:spacing w:after="0"/>
              <w:rPr>
                <w:sz w:val="20"/>
                <w:szCs w:val="20"/>
                <w:color w:val="auto"/>
              </w:rPr>
            </w:pPr>
            <w:r>
              <w:rPr>
                <w:rFonts w:ascii="Arial" w:cs="Arial" w:eastAsia="Arial" w:hAnsi="Arial"/>
                <w:sz w:val="18"/>
                <w:szCs w:val="18"/>
                <w:color w:val="auto"/>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2/21/2023</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800" w:type="dxa"/>
            <w:vAlign w:val="bottom"/>
            <w:gridSpan w:val="27"/>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and Double Diamond Holdings Ltd.</w:t>
              </w:r>
            </w:hyperlink>
          </w:p>
        </w:tc>
        <w:tc>
          <w:tcPr>
            <w:tcW w:w="800" w:type="dxa"/>
            <w:vAlign w:val="bottom"/>
          </w:tcPr>
          <w:p>
            <w:pPr>
              <w:spacing w:after="0"/>
              <w:rPr>
                <w:sz w:val="17"/>
                <w:szCs w:val="17"/>
                <w:color w:val="auto"/>
              </w:rPr>
            </w:pP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10.32</w:t>
            </w:r>
          </w:p>
        </w:tc>
        <w:tc>
          <w:tcPr>
            <w:tcW w:w="5740" w:type="dxa"/>
            <w:vAlign w:val="bottom"/>
            <w:tcBorders>
              <w:bottom w:val="single" w:sz="8" w:color="0000EE"/>
            </w:tcBorders>
            <w:gridSpan w:val="24"/>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Arrangement Agreement, dated as of April 10, 2023, by and between Tilray and</w:t>
              </w:r>
            </w:hyperlink>
          </w:p>
        </w:tc>
        <w:tc>
          <w:tcPr>
            <w:tcW w:w="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ind w:left="20"/>
              <w:spacing w:after="0"/>
              <w:rPr>
                <w:sz w:val="20"/>
                <w:szCs w:val="20"/>
                <w:color w:val="auto"/>
              </w:rPr>
            </w:pPr>
            <w:r>
              <w:rPr>
                <w:rFonts w:ascii="Arial" w:cs="Arial" w:eastAsia="Arial" w:hAnsi="Arial"/>
                <w:sz w:val="18"/>
                <w:szCs w:val="18"/>
                <w:color w:val="auto"/>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4/10/2023</w:t>
            </w:r>
          </w:p>
        </w:tc>
        <w:tc>
          <w:tcPr>
            <w:tcW w:w="10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HEXO.</w:t>
              </w:r>
            </w:hyperlink>
          </w:p>
        </w:tc>
        <w:tc>
          <w:tcPr>
            <w:tcW w:w="5260" w:type="dxa"/>
            <w:vAlign w:val="bottom"/>
            <w:gridSpan w:val="25"/>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10.33</w:t>
            </w:r>
          </w:p>
        </w:tc>
        <w:tc>
          <w:tcPr>
            <w:tcW w:w="5800" w:type="dxa"/>
            <w:vAlign w:val="bottom"/>
            <w:gridSpan w:val="27"/>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Letter Agreement, dated as of April 10, 2023, by and between Tilray and HEXO</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ind w:left="20"/>
              <w:spacing w:after="0"/>
              <w:rPr>
                <w:sz w:val="20"/>
                <w:szCs w:val="20"/>
                <w:color w:val="auto"/>
              </w:rPr>
            </w:pPr>
            <w:r>
              <w:rPr>
                <w:rFonts w:ascii="Arial" w:cs="Arial" w:eastAsia="Arial" w:hAnsi="Arial"/>
                <w:sz w:val="18"/>
                <w:szCs w:val="18"/>
                <w:color w:val="auto"/>
              </w:rPr>
              <w:t>001-</w:t>
            </w: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4/10/2023</w:t>
            </w:r>
          </w:p>
        </w:tc>
        <w:tc>
          <w:tcPr>
            <w:tcW w:w="10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2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Subsidiaries of Tilray Brands Inc.</w:t>
            </w:r>
          </w:p>
        </w:tc>
        <w:tc>
          <w:tcPr>
            <w:tcW w:w="3380" w:type="dxa"/>
            <w:vAlign w:val="bottom"/>
            <w:gridSpan w:val="23"/>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52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Consent of PricewaterhouseCoopers LLP, Independent Registered Public</w:t>
            </w:r>
          </w:p>
        </w:tc>
        <w:tc>
          <w:tcPr>
            <w:tcW w:w="52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5800" w:type="dxa"/>
            <w:vAlign w:val="bottom"/>
            <w:gridSpan w:val="27"/>
          </w:tcPr>
          <w:p>
            <w:pPr>
              <w:spacing w:after="0" w:line="196" w:lineRule="exact"/>
              <w:rPr>
                <w:sz w:val="20"/>
                <w:szCs w:val="20"/>
                <w:color w:val="auto"/>
              </w:rPr>
            </w:pPr>
            <w:r>
              <w:rPr>
                <w:rFonts w:ascii="Arial" w:cs="Arial" w:eastAsia="Arial" w:hAnsi="Arial"/>
                <w:sz w:val="18"/>
                <w:szCs w:val="18"/>
                <w:color w:val="0000EE"/>
              </w:rPr>
              <w:t>Accounting Firm</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5800" w:type="dxa"/>
            <w:vAlign w:val="bottom"/>
            <w:gridSpan w:val="27"/>
          </w:tcPr>
          <w:p>
            <w:pPr>
              <w:spacing w:after="0"/>
              <w:rPr>
                <w:sz w:val="20"/>
                <w:szCs w:val="20"/>
                <w:color w:val="auto"/>
              </w:rPr>
            </w:pPr>
            <w:r>
              <w:rPr>
                <w:rFonts w:ascii="Arial" w:cs="Arial" w:eastAsia="Arial" w:hAnsi="Arial"/>
                <w:sz w:val="18"/>
                <w:szCs w:val="18"/>
                <w:color w:val="0000EE"/>
                <w:w w:val="96"/>
              </w:rPr>
              <w:t>Certification of Principal Executive Officer Pursuant to Rules 13a-14(a) and</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800" w:type="dxa"/>
            <w:vAlign w:val="bottom"/>
          </w:tcPr>
          <w:p>
            <w:pPr>
              <w:spacing w:after="0" w:line="20" w:lineRule="exact"/>
              <w:rPr>
                <w:sz w:val="1"/>
                <w:szCs w:val="1"/>
                <w:color w:val="auto"/>
              </w:rPr>
            </w:pPr>
          </w:p>
        </w:tc>
        <w:tc>
          <w:tcPr>
            <w:tcW w:w="3400" w:type="dxa"/>
            <w:vAlign w:val="bottom"/>
            <w:gridSpan w:val="8"/>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800" w:type="dxa"/>
            <w:vAlign w:val="bottom"/>
            <w:gridSpan w:val="27"/>
          </w:tcPr>
          <w:p>
            <w:pPr>
              <w:spacing w:after="0" w:line="196" w:lineRule="exact"/>
              <w:rPr>
                <w:sz w:val="20"/>
                <w:szCs w:val="20"/>
                <w:color w:val="auto"/>
              </w:rPr>
            </w:pPr>
            <w:r>
              <w:rPr>
                <w:rFonts w:ascii="Arial" w:cs="Arial" w:eastAsia="Arial" w:hAnsi="Arial"/>
                <w:sz w:val="18"/>
                <w:szCs w:val="18"/>
                <w:color w:val="0000EE"/>
                <w:w w:val="92"/>
              </w:rPr>
              <w:t>15d-14(a) under the Securities Exchange Act of 1934, as Adopted Pursuant to</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2180" w:type="dxa"/>
            <w:vAlign w:val="bottom"/>
            <w:tcBorders>
              <w:top w:val="single" w:sz="8" w:color="0000EE"/>
            </w:tcBorders>
            <w:gridSpan w:val="12"/>
          </w:tcPr>
          <w:p>
            <w:pPr>
              <w:spacing w:after="0"/>
              <w:rPr>
                <w:sz w:val="17"/>
                <w:szCs w:val="17"/>
                <w:color w:val="auto"/>
              </w:rPr>
            </w:pPr>
          </w:p>
        </w:tc>
        <w:tc>
          <w:tcPr>
            <w:tcW w:w="22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580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1"/>
              </w:rPr>
              <w:t>Certification of Principal Financial Officer Pursuant to Rules 13a-14(a) and 15d-</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52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14(a) under the Securities Exchange Act of 1934, as Adopted Pursuant to</w:t>
            </w:r>
          </w:p>
        </w:tc>
        <w:tc>
          <w:tcPr>
            <w:tcW w:w="54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240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5800" w:type="dxa"/>
            <w:vAlign w:val="bottom"/>
            <w:gridSpan w:val="27"/>
          </w:tcPr>
          <w:p>
            <w:pPr>
              <w:spacing w:after="0"/>
              <w:rPr>
                <w:sz w:val="20"/>
                <w:szCs w:val="20"/>
                <w:color w:val="auto"/>
              </w:rPr>
            </w:pPr>
            <w:r>
              <w:rPr>
                <w:rFonts w:ascii="Arial" w:cs="Arial" w:eastAsia="Arial" w:hAnsi="Arial"/>
                <w:sz w:val="18"/>
                <w:szCs w:val="18"/>
                <w:color w:val="0000EE"/>
                <w:w w:val="92"/>
              </w:rPr>
              <w:t>Certification of Principal Executive Officer Pursuant to 18 U.S.C. Section 1350,</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576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as Adopted Pursuant to Section 906 of the Sarbanes-Oxley Act of 2002</w:t>
            </w:r>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5100" w:type="dxa"/>
            <w:vAlign w:val="bottom"/>
            <w:tcBorders>
              <w:top w:val="single" w:sz="8" w:color="0000EE"/>
            </w:tcBorders>
            <w:gridSpan w:val="12"/>
          </w:tcPr>
          <w:p>
            <w:pPr>
              <w:ind w:left="468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9" w:name="page130"/>
    <w:bookmarkEnd w:id="129"/>
    <w:p>
      <w:pPr>
        <w:ind w:left="7960"/>
        <w:spacing w:after="0"/>
        <w:rPr>
          <w:sz w:val="20"/>
          <w:szCs w:val="20"/>
          <w:color w:val="auto"/>
        </w:rPr>
      </w:pPr>
      <w:r>
        <w:rPr>
          <w:rFonts w:ascii="Arial" w:cs="Arial" w:eastAsia="Arial" w:hAnsi="Arial"/>
          <w:sz w:val="16"/>
          <w:szCs w:val="16"/>
          <w:b w:val="1"/>
          <w:bCs w:val="1"/>
          <w:color w:val="auto"/>
        </w:rPr>
        <w:t>Incorporate by Reference</w:t>
      </w:r>
    </w:p>
    <w:p>
      <w:pPr>
        <w:sectPr>
          <w:pgSz w:w="11900" w:h="16838" w:orient="portrait"/>
          <w:cols w:equalWidth="0" w:num="1">
            <w:col w:w="11100"/>
          </w:cols>
          <w:pgMar w:left="320" w:top="580" w:right="47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280"/>
        <w:spacing w:after="0"/>
        <w:rPr>
          <w:sz w:val="20"/>
          <w:szCs w:val="20"/>
          <w:color w:val="auto"/>
        </w:rPr>
      </w:pPr>
      <w:r>
        <w:rPr>
          <w:rFonts w:ascii="Arial" w:cs="Arial" w:eastAsia="Arial" w:hAnsi="Arial"/>
          <w:sz w:val="16"/>
          <w:szCs w:val="16"/>
          <w:b w:val="1"/>
          <w:bCs w:val="1"/>
          <w:color w:val="auto"/>
        </w:rPr>
        <w:t>Description of Document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p>
    <w:p>
      <w:pPr>
        <w:sectPr>
          <w:pgSz w:w="11900" w:h="16838" w:orient="portrait"/>
          <w:cols w:equalWidth="0" w:num="7">
            <w:col w:w="2040" w:space="720"/>
            <w:col w:w="3200" w:space="720"/>
            <w:col w:w="700" w:space="60"/>
            <w:col w:w="640" w:space="120"/>
            <w:col w:w="580" w:space="340"/>
            <w:col w:w="860" w:space="400"/>
            <w:col w:w="720"/>
          </w:cols>
          <w:pgMar w:left="320" w:top="580" w:right="479" w:bottom="1440" w:gutter="0" w:footer="0" w:header="0"/>
          <w:type w:val="continuous"/>
        </w:sectPr>
      </w:pPr>
    </w:p>
    <w:p>
      <w:pPr>
        <w:ind w:left="800" w:right="4540" w:hanging="792"/>
        <w:spacing w:after="0" w:line="252"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Annual Report on Form 10-K for the year ended May 31, 2023, formatted in Inline XBRL: (i) Consolidated Statements of Financial Position, (ii) Consolidated Statements of Loss and Comprehensive Loss, (iii) Consolidated Statements of Changes in Equity, (iv) Consolidated Statements of Cash Flows, and (v) Notes to Consolidated Financial Statements, tagged as blocks of text and including detailed tags.</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340" w:right="160" w:hanging="332"/>
        <w:spacing w:after="0" w:line="25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Schedules and certain other information have been omitted pursuant to Item 601(b)(2) of Regulations S-K. The registrant will furnish copies of any such schedules to the Securities and Exchange Commission upon request.</w:t>
      </w:r>
    </w:p>
    <w:p>
      <w:pPr>
        <w:spacing w:after="0" w:line="1" w:lineRule="exact"/>
        <w:rPr>
          <w:sz w:val="20"/>
          <w:szCs w:val="20"/>
          <w:color w:val="auto"/>
        </w:rPr>
      </w:pPr>
    </w:p>
    <w:p>
      <w:pPr>
        <w:ind w:left="340" w:right="460" w:hanging="332"/>
        <w:spacing w:after="0" w:line="260"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Registrant has omitted portions of the referenced exhibit pursuant to a request for confidential treatment under Rule 406 promulgated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Tilray Brands, Inc.</w:t>
      </w:r>
    </w:p>
    <w:p>
      <w:pPr>
        <w:spacing w:after="0" w:line="225" w:lineRule="exact"/>
        <w:rPr>
          <w:sz w:val="20"/>
          <w:szCs w:val="20"/>
          <w:color w:val="auto"/>
        </w:rPr>
      </w:pPr>
    </w:p>
    <w:p>
      <w:pPr>
        <w:spacing w:after="0"/>
        <w:tabs>
          <w:tab w:leader="none" w:pos="5660" w:val="left"/>
          <w:tab w:leader="none" w:pos="798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6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1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Irwin D. Simon</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00" w:lineRule="exact"/>
        <w:rPr>
          <w:sz w:val="20"/>
          <w:szCs w:val="20"/>
          <w:color w:val="auto"/>
        </w:rPr>
      </w:pPr>
    </w:p>
    <w:p>
      <w:pPr>
        <w:spacing w:after="0" w:line="227" w:lineRule="exact"/>
        <w:rPr>
          <w:sz w:val="20"/>
          <w:szCs w:val="20"/>
          <w:color w:val="auto"/>
        </w:rPr>
      </w:pPr>
    </w:p>
    <w:p>
      <w:pPr>
        <w:ind w:right="160" w:firstLine="59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580" w:right="339" w:bottom="1440" w:gutter="0" w:footer="0" w:header="0"/>
        </w:sectPr>
      </w:pPr>
    </w:p>
    <w:p>
      <w:pPr>
        <w:spacing w:after="0" w:line="16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Irwin D. Simon</w:t>
      </w:r>
    </w:p>
    <w:p>
      <w:pPr>
        <w:spacing w:after="0" w:line="200" w:lineRule="exact"/>
        <w:rPr>
          <w:sz w:val="20"/>
          <w:szCs w:val="20"/>
          <w:color w:val="auto"/>
        </w:rPr>
      </w:pP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Carl Merton</w:t>
      </w:r>
    </w:p>
    <w:p>
      <w:pPr>
        <w:spacing w:after="0" w:line="224"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Renah Persofsky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488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Renah Persofsky</w:t>
      </w:r>
    </w:p>
    <w:p>
      <w:pPr>
        <w:spacing w:after="0" w:line="22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Jodi Butts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88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Jodi Butts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 David Clanachan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488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David Clanachan</w:t>
      </w:r>
    </w:p>
    <w:p>
      <w:pPr>
        <w:spacing w:after="0" w:line="23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 John M. Herhalt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4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John M. Herhalt</w:t>
      </w:r>
    </w:p>
    <w:p>
      <w:pPr>
        <w:spacing w:after="0" w:line="224"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David Hopkinson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488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David Hopkinson</w:t>
      </w:r>
    </w:p>
    <w:p>
      <w:pPr>
        <w:spacing w:after="0" w:line="22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Tom Looney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Tom Looney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48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418"/>
        </w:trPr>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20" w:type="dxa"/>
            <w:vAlign w:val="bottom"/>
          </w:tcPr>
          <w:p>
            <w:pPr>
              <w:spacing w:after="0"/>
              <w:rPr>
                <w:sz w:val="20"/>
                <w:szCs w:val="20"/>
                <w:color w:val="auto"/>
              </w:rPr>
            </w:pP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661"/>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661"/>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661"/>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26, 2023</w:t>
            </w:r>
          </w:p>
        </w:tc>
        <w:tc>
          <w:tcPr>
            <w:tcW w:w="0" w:type="dxa"/>
            <w:vAlign w:val="bottom"/>
          </w:tcPr>
          <w:p>
            <w:pPr>
              <w:spacing w:after="0"/>
              <w:rPr>
                <w:sz w:val="1"/>
                <w:szCs w:val="1"/>
                <w:color w:val="auto"/>
              </w:rPr>
            </w:pPr>
          </w:p>
        </w:tc>
      </w:tr>
    </w:tbl>
    <w:p>
      <w:pPr>
        <w:spacing w:after="0" w:line="393" w:lineRule="exact"/>
        <w:rPr>
          <w:sz w:val="20"/>
          <w:szCs w:val="20"/>
          <w:color w:val="auto"/>
        </w:rPr>
      </w:pPr>
    </w:p>
    <w:p>
      <w:pPr>
        <w:sectPr>
          <w:pgSz w:w="11900" w:h="16838" w:orient="portrait"/>
          <w:cols w:equalWidth="0" w:num="2">
            <w:col w:w="3100" w:space="720"/>
            <w:col w:w="7420"/>
          </w:cols>
          <w:pgMar w:left="320" w:top="580"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580" w:right="3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12(b) OF THE EXCHANGE ACT OF 1934</w:t>
      </w:r>
    </w:p>
    <w:p>
      <w:pPr>
        <w:spacing w:after="0" w:line="200" w:lineRule="exact"/>
        <w:rPr>
          <w:sz w:val="20"/>
          <w:szCs w:val="20"/>
          <w:color w:val="auto"/>
        </w:rPr>
      </w:pPr>
    </w:p>
    <w:p>
      <w:pPr>
        <w:spacing w:after="0" w:line="24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Tilray, Brands Inc. (</w:t>
      </w:r>
      <w:r>
        <w:rPr>
          <w:rFonts w:ascii="Arial" w:cs="Arial" w:eastAsia="Arial" w:hAnsi="Arial"/>
          <w:sz w:val="18"/>
          <w:szCs w:val="18"/>
          <w:color w:val="auto"/>
        </w:rPr>
        <w:t>“</w:t>
      </w:r>
      <w:r>
        <w:rPr>
          <w:rFonts w:ascii="Arial" w:cs="Arial" w:eastAsia="Arial" w:hAnsi="Arial"/>
          <w:sz w:val="18"/>
          <w:szCs w:val="18"/>
          <w:i w:val="1"/>
          <w:iCs w:val="1"/>
          <w:color w:val="auto"/>
        </w:rPr>
        <w:t>Tilray,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has one class of securities registered under Section 12(b) of the Securities Exchange Act of 1934, as amended: our Class 2 common stock.</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4.3 is a part.</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is divided into:</w:t>
      </w:r>
    </w:p>
    <w:p>
      <w:pPr>
        <w:spacing w:after="0" w:line="225" w:lineRule="exact"/>
        <w:rPr>
          <w:sz w:val="20"/>
          <w:szCs w:val="20"/>
          <w:color w:val="auto"/>
        </w:rPr>
      </w:pPr>
    </w:p>
    <w:p>
      <w:pPr>
        <w:ind w:left="1220" w:hanging="11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233,333,333 shares of Class 1 common stock with a par value of $0.0001 per share;</w:t>
      </w:r>
    </w:p>
    <w:p>
      <w:pPr>
        <w:spacing w:after="0" w:line="225" w:lineRule="exact"/>
        <w:rPr>
          <w:rFonts w:ascii="Arial" w:cs="Arial" w:eastAsia="Arial" w:hAnsi="Arial"/>
          <w:sz w:val="18"/>
          <w:szCs w:val="18"/>
          <w:color w:val="auto"/>
        </w:rPr>
      </w:pPr>
    </w:p>
    <w:p>
      <w:pPr>
        <w:ind w:left="1220" w:hanging="11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746,666,667 shares of Class 2 common stock with a par value of $0.0001 per share; and</w:t>
      </w:r>
    </w:p>
    <w:p>
      <w:pPr>
        <w:spacing w:after="0" w:line="225" w:lineRule="exact"/>
        <w:rPr>
          <w:rFonts w:ascii="Arial" w:cs="Arial" w:eastAsia="Arial" w:hAnsi="Arial"/>
          <w:sz w:val="18"/>
          <w:szCs w:val="18"/>
          <w:color w:val="auto"/>
        </w:rPr>
      </w:pPr>
    </w:p>
    <w:p>
      <w:pPr>
        <w:ind w:left="1220" w:hanging="11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rights and restrictions to which the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2 common stock is entitled to one vote for each share of Class 2 common stock held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2 common stock are entitled to receive dividends out of funds legally available at the times and in the amounts that our board of directors may determine. We do not anticipate paying any cash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no rights to repurchase shares of our common stock, except as described in “—Options and Restricted Stock Units”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2 common stock. Our board of directors, without stockholder approval, may issue preferred stock with voting, conversion or other rights that are superior to the voting and other rights of the holders of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2 common stock and reduce the likelihood that Class 2 common stockholders will receive dividend payments and payments upon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will determine the rights, preferences, privileges and restrictions of the preferred stock of each series. This description will include:</w:t>
      </w:r>
    </w:p>
    <w:p>
      <w:pPr>
        <w:spacing w:after="0" w:line="248" w:lineRule="exact"/>
        <w:rPr>
          <w:sz w:val="20"/>
          <w:szCs w:val="20"/>
          <w:color w:val="auto"/>
        </w:rPr>
      </w:pPr>
    </w:p>
    <w:p>
      <w:pPr>
        <w:ind w:left="900" w:hanging="11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780" w:right="460" w:firstLine="2"/>
        <w:spacing w:after="0" w:line="277" w:lineRule="auto"/>
        <w:tabs>
          <w:tab w:leader="none" w:pos="8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170"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780" w:firstLine="2"/>
        <w:spacing w:after="0" w:line="308" w:lineRule="auto"/>
        <w:tabs>
          <w:tab w:leader="none" w:pos="888"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146" w:lineRule="exact"/>
        <w:rPr>
          <w:rFonts w:ascii="Arial" w:cs="Arial" w:eastAsia="Arial" w:hAnsi="Arial"/>
          <w:sz w:val="17"/>
          <w:szCs w:val="17"/>
          <w:color w:val="auto"/>
        </w:rPr>
      </w:pPr>
    </w:p>
    <w:p>
      <w:pPr>
        <w:ind w:left="780" w:right="100" w:firstLine="2"/>
        <w:spacing w:after="0" w:line="277" w:lineRule="auto"/>
        <w:tabs>
          <w:tab w:leader="none" w:pos="8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preferred stock will be exchangeable for debt securities, and, if applicable, the exchange period, the exchange price, or how it will be calculated, and under what circumstances it may be adjusted;</w:t>
      </w:r>
    </w:p>
    <w:p>
      <w:pPr>
        <w:spacing w:after="0" w:line="170"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225"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36" w:lineRule="exact"/>
        <w:rPr>
          <w:rFonts w:ascii="Arial" w:cs="Arial" w:eastAsia="Arial" w:hAnsi="Arial"/>
          <w:sz w:val="17"/>
          <w:szCs w:val="17"/>
          <w:color w:val="auto"/>
        </w:rPr>
      </w:pPr>
    </w:p>
    <w:p>
      <w:pPr>
        <w:ind w:left="780" w:right="340" w:firstLine="2"/>
        <w:spacing w:after="0" w:line="277" w:lineRule="auto"/>
        <w:tabs>
          <w:tab w:leader="none" w:pos="8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170" w:lineRule="exact"/>
        <w:rPr>
          <w:rFonts w:ascii="Arial" w:cs="Arial" w:eastAsia="Arial" w:hAnsi="Arial"/>
          <w:sz w:val="18"/>
          <w:szCs w:val="18"/>
          <w:color w:val="auto"/>
        </w:rPr>
      </w:pPr>
    </w:p>
    <w:p>
      <w:pPr>
        <w:ind w:left="900" w:hanging="118"/>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we issue shares of preferred stock, the shares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Unless we specify otherwise, the preferred stock will rank, with respect to dividends and upon our liquidation, dissolution or winding up:</w:t>
      </w:r>
    </w:p>
    <w:p>
      <w:pPr>
        <w:spacing w:after="0" w:line="225" w:lineRule="exact"/>
        <w:rPr>
          <w:sz w:val="20"/>
          <w:szCs w:val="20"/>
          <w:color w:val="auto"/>
        </w:rPr>
      </w:pPr>
    </w:p>
    <w:p>
      <w:pPr>
        <w:ind w:left="900" w:hanging="11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225" w:lineRule="exact"/>
        <w:rPr>
          <w:rFonts w:ascii="Arial" w:cs="Arial" w:eastAsia="Arial" w:hAnsi="Arial"/>
          <w:sz w:val="18"/>
          <w:szCs w:val="18"/>
          <w:color w:val="auto"/>
        </w:rPr>
      </w:pPr>
    </w:p>
    <w:p>
      <w:pPr>
        <w:ind w:left="780" w:right="120" w:firstLine="2"/>
        <w:spacing w:after="0" w:line="277" w:lineRule="auto"/>
        <w:tabs>
          <w:tab w:leader="none" w:pos="8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170" w:lineRule="exact"/>
        <w:rPr>
          <w:rFonts w:ascii="Arial" w:cs="Arial" w:eastAsia="Arial" w:hAnsi="Arial"/>
          <w:sz w:val="18"/>
          <w:szCs w:val="18"/>
          <w:color w:val="auto"/>
        </w:rPr>
      </w:pPr>
    </w:p>
    <w:p>
      <w:pPr>
        <w:ind w:left="900" w:hanging="118"/>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225" w:lineRule="exact"/>
        <w:rPr>
          <w:sz w:val="20"/>
          <w:szCs w:val="20"/>
          <w:color w:val="auto"/>
        </w:rPr>
      </w:pPr>
    </w:p>
    <w:p>
      <w:pPr>
        <w:ind w:left="780" w:right="480" w:firstLine="2"/>
        <w:spacing w:after="0" w:line="277" w:lineRule="auto"/>
        <w:tabs>
          <w:tab w:leader="none" w:pos="8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170" w:lineRule="exact"/>
        <w:rPr>
          <w:rFonts w:ascii="Arial" w:cs="Arial" w:eastAsia="Arial" w:hAnsi="Arial"/>
          <w:sz w:val="18"/>
          <w:szCs w:val="18"/>
          <w:color w:val="auto"/>
        </w:rPr>
      </w:pPr>
    </w:p>
    <w:p>
      <w:pPr>
        <w:ind w:left="900" w:hanging="118"/>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our board of directors;</w:t>
      </w:r>
    </w:p>
    <w:p>
      <w:pPr>
        <w:spacing w:after="0" w:line="225" w:lineRule="exact"/>
        <w:rPr>
          <w:rFonts w:ascii="Arial" w:cs="Arial" w:eastAsia="Arial" w:hAnsi="Arial"/>
          <w:sz w:val="18"/>
          <w:szCs w:val="18"/>
          <w:color w:val="auto"/>
        </w:rPr>
      </w:pPr>
    </w:p>
    <w:p>
      <w:pPr>
        <w:ind w:left="780" w:right="60" w:firstLine="2"/>
        <w:spacing w:after="0" w:line="286" w:lineRule="auto"/>
        <w:tabs>
          <w:tab w:leader="none" w:pos="88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165" w:lineRule="exact"/>
        <w:rPr>
          <w:rFonts w:ascii="Arial" w:cs="Arial" w:eastAsia="Arial" w:hAnsi="Arial"/>
          <w:sz w:val="17"/>
          <w:szCs w:val="17"/>
          <w:color w:val="auto"/>
        </w:rPr>
      </w:pPr>
    </w:p>
    <w:p>
      <w:pPr>
        <w:ind w:left="780" w:right="40" w:firstLine="2"/>
        <w:spacing w:after="0" w:line="277" w:lineRule="auto"/>
        <w:tabs>
          <w:tab w:leader="none" w:pos="8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provides that all vacancies, including newly created directorships, may, except as otherwise required by law, be filled by the affirmative vote of a majority of directors then in office, even if less than a quorum;</w:t>
      </w:r>
    </w:p>
    <w:p>
      <w:pPr>
        <w:spacing w:after="0" w:line="170" w:lineRule="exact"/>
        <w:rPr>
          <w:rFonts w:ascii="Arial" w:cs="Arial" w:eastAsia="Arial" w:hAnsi="Arial"/>
          <w:sz w:val="18"/>
          <w:szCs w:val="18"/>
          <w:color w:val="auto"/>
        </w:rPr>
      </w:pPr>
    </w:p>
    <w:p>
      <w:pPr>
        <w:ind w:left="780" w:right="40" w:firstLine="2"/>
        <w:spacing w:after="0" w:line="263" w:lineRule="auto"/>
        <w:tabs>
          <w:tab w:leader="none" w:pos="8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83" w:lineRule="exact"/>
        <w:rPr>
          <w:rFonts w:ascii="Arial" w:cs="Arial" w:eastAsia="Arial" w:hAnsi="Arial"/>
          <w:sz w:val="18"/>
          <w:szCs w:val="18"/>
          <w:color w:val="auto"/>
        </w:rPr>
      </w:pPr>
    </w:p>
    <w:p>
      <w:pPr>
        <w:ind w:left="780" w:right="260" w:firstLine="2"/>
        <w:spacing w:after="0" w:line="308" w:lineRule="auto"/>
        <w:tabs>
          <w:tab w:leader="none" w:pos="88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146" w:lineRule="exact"/>
        <w:rPr>
          <w:rFonts w:ascii="Arial" w:cs="Arial" w:eastAsia="Arial" w:hAnsi="Arial"/>
          <w:sz w:val="17"/>
          <w:szCs w:val="17"/>
          <w:color w:val="auto"/>
        </w:rPr>
      </w:pPr>
    </w:p>
    <w:p>
      <w:pPr>
        <w:ind w:left="780" w:right="40" w:firstLine="2"/>
        <w:spacing w:after="0" w:line="342" w:lineRule="auto"/>
        <w:tabs>
          <w:tab w:leader="none" w:pos="888"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ind w:left="780" w:right="240" w:firstLine="2"/>
        <w:spacing w:after="0" w:line="259" w:lineRule="auto"/>
        <w:tabs>
          <w:tab w:leader="none" w:pos="8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ectPr>
          <w:pgSz w:w="11900" w:h="16838" w:orient="portrait"/>
          <w:cols w:equalWidth="0" w:num="1">
            <w:col w:w="11220"/>
          </w:cols>
          <w:pgMar w:left="320" w:top="584" w:right="359" w:bottom="1440" w:gutter="0" w:footer="0" w:header="0"/>
        </w:sectPr>
      </w:pPr>
    </w:p>
    <w:bookmarkStart w:id="136" w:name="page137"/>
    <w:bookmarkEnd w:id="136"/>
    <w:p>
      <w:pPr>
        <w:ind w:left="10320"/>
        <w:spacing w:after="0"/>
        <w:rPr>
          <w:sz w:val="20"/>
          <w:szCs w:val="20"/>
          <w:color w:val="auto"/>
        </w:rPr>
      </w:pPr>
      <w:r>
        <w:rPr>
          <w:rFonts w:ascii="Arial" w:cs="Arial" w:eastAsia="Arial" w:hAnsi="Arial"/>
          <w:sz w:val="16"/>
          <w:szCs w:val="16"/>
          <w:b w:val="1"/>
          <w:bCs w:val="1"/>
          <w:color w:val="auto"/>
        </w:rPr>
        <w:t>Exhibit 21.1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SUBSIDIARIES OF TILRAY BRANDS, INC.</w:t>
            </w:r>
          </w:p>
        </w:tc>
        <w:tc>
          <w:tcPr>
            <w:tcW w:w="3860" w:type="dxa"/>
            <w:vAlign w:val="bottom"/>
          </w:tcPr>
          <w:p>
            <w:pPr>
              <w:spacing w:after="0"/>
              <w:rPr>
                <w:sz w:val="17"/>
                <w:szCs w:val="17"/>
                <w:color w:val="auto"/>
              </w:rPr>
            </w:pPr>
          </w:p>
        </w:tc>
      </w:tr>
      <w:tr>
        <w:trPr>
          <w:trHeight w:val="453"/>
        </w:trPr>
        <w:tc>
          <w:tcPr>
            <w:tcW w:w="3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6"/>
        </w:trPr>
        <w:tc>
          <w:tcPr>
            <w:tcW w:w="7380" w:type="dxa"/>
            <w:vAlign w:val="bottom"/>
            <w:tcBorders>
              <w:bottom w:val="single" w:sz="8" w:color="auto"/>
            </w:tcBorders>
            <w:gridSpan w:val="2"/>
            <w:shd w:val="clear" w:color="auto" w:fill="DEEBF6"/>
          </w:tcPr>
          <w:p>
            <w:pPr>
              <w:spacing w:after="0"/>
              <w:rPr>
                <w:sz w:val="20"/>
                <w:szCs w:val="20"/>
                <w:color w:val="auto"/>
              </w:rPr>
            </w:pPr>
            <w:r>
              <w:rPr>
                <w:rFonts w:ascii="Arial" w:cs="Arial" w:eastAsia="Arial" w:hAnsi="Arial"/>
                <w:sz w:val="18"/>
                <w:szCs w:val="18"/>
                <w:b w:val="1"/>
                <w:bCs w:val="1"/>
                <w:color w:val="auto"/>
              </w:rPr>
              <w:t>Name of entity</w:t>
            </w:r>
          </w:p>
        </w:tc>
        <w:tc>
          <w:tcPr>
            <w:tcW w:w="3860" w:type="dxa"/>
            <w:vAlign w:val="bottom"/>
            <w:tcBorders>
              <w:bottom w:val="single" w:sz="8" w:color="auto"/>
            </w:tcBorders>
            <w:shd w:val="clear" w:color="auto" w:fill="DEEBF6"/>
          </w:tcPr>
          <w:p>
            <w:pPr>
              <w:ind w:left="260"/>
              <w:spacing w:after="0"/>
              <w:rPr>
                <w:sz w:val="20"/>
                <w:szCs w:val="20"/>
                <w:color w:val="auto"/>
              </w:rPr>
            </w:pPr>
            <w:r>
              <w:rPr>
                <w:rFonts w:ascii="Arial" w:cs="Arial" w:eastAsia="Arial" w:hAnsi="Arial"/>
                <w:sz w:val="18"/>
                <w:szCs w:val="18"/>
                <w:b w:val="1"/>
                <w:bCs w:val="1"/>
                <w:color w:val="auto"/>
              </w:rPr>
              <w:t>Place of incorporation</w:t>
            </w:r>
          </w:p>
        </w:tc>
      </w:tr>
      <w:tr>
        <w:trPr>
          <w:trHeight w:val="195"/>
        </w:trPr>
        <w:tc>
          <w:tcPr>
            <w:tcW w:w="7380" w:type="dxa"/>
            <w:vAlign w:val="bottom"/>
            <w:gridSpan w:val="2"/>
          </w:tcPr>
          <w:p>
            <w:pPr>
              <w:spacing w:after="0" w:line="195" w:lineRule="exact"/>
              <w:rPr>
                <w:sz w:val="20"/>
                <w:szCs w:val="20"/>
                <w:color w:val="auto"/>
              </w:rPr>
            </w:pPr>
            <w:r>
              <w:rPr>
                <w:rFonts w:ascii="Arial" w:cs="Arial" w:eastAsia="Arial" w:hAnsi="Arial"/>
                <w:sz w:val="18"/>
                <w:szCs w:val="18"/>
                <w:color w:val="auto"/>
              </w:rPr>
              <w:t>Natura Naturals Inc.</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Inc.</w:t>
            </w:r>
          </w:p>
        </w:tc>
        <w:tc>
          <w:tcPr>
            <w:tcW w:w="3860" w:type="dxa"/>
            <w:vAlign w:val="bottom"/>
          </w:tcPr>
          <w:p>
            <w:pPr>
              <w:ind w:left="260"/>
              <w:spacing w:after="0"/>
              <w:rPr>
                <w:sz w:val="20"/>
                <w:szCs w:val="20"/>
                <w:color w:val="auto"/>
              </w:rPr>
            </w:pPr>
            <w:r>
              <w:rPr>
                <w:rFonts w:ascii="Arial" w:cs="Arial" w:eastAsia="Arial" w:hAnsi="Arial"/>
                <w:sz w:val="18"/>
                <w:szCs w:val="18"/>
                <w:color w:val="auto"/>
              </w:rPr>
              <w:t>Delaware, United States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Manitoba Harvest USA LLC</w:t>
            </w:r>
          </w:p>
        </w:tc>
        <w:tc>
          <w:tcPr>
            <w:tcW w:w="3860" w:type="dxa"/>
            <w:vAlign w:val="bottom"/>
          </w:tcPr>
          <w:p>
            <w:pPr>
              <w:ind w:left="260"/>
              <w:spacing w:after="0"/>
              <w:rPr>
                <w:sz w:val="20"/>
                <w:szCs w:val="20"/>
                <w:color w:val="auto"/>
              </w:rPr>
            </w:pPr>
            <w:r>
              <w:rPr>
                <w:rFonts w:ascii="Arial" w:cs="Arial" w:eastAsia="Arial" w:hAnsi="Arial"/>
                <w:sz w:val="18"/>
                <w:szCs w:val="18"/>
                <w:color w:val="auto"/>
              </w:rPr>
              <w:t>Delaware, United States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Canada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Dorada Ventures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FHF Holdings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Farms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Deutschland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Pardal Holdings, Lda.</w:t>
            </w:r>
          </w:p>
        </w:tc>
        <w:tc>
          <w:tcPr>
            <w:tcW w:w="3860" w:type="dxa"/>
            <w:vAlign w:val="bottom"/>
          </w:tcPr>
          <w:p>
            <w:pPr>
              <w:ind w:left="260"/>
              <w:spacing w:after="0"/>
              <w:rPr>
                <w:sz w:val="20"/>
                <w:szCs w:val="20"/>
                <w:color w:val="auto"/>
              </w:rPr>
            </w:pPr>
            <w:r>
              <w:rPr>
                <w:rFonts w:ascii="Arial" w:cs="Arial" w:eastAsia="Arial" w:hAnsi="Arial"/>
                <w:sz w:val="18"/>
                <w:szCs w:val="18"/>
                <w:color w:val="auto"/>
              </w:rPr>
              <w:t>Portugal</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Portugal Unipessoal, Lda.</w:t>
            </w:r>
          </w:p>
        </w:tc>
        <w:tc>
          <w:tcPr>
            <w:tcW w:w="3860" w:type="dxa"/>
            <w:vAlign w:val="bottom"/>
          </w:tcPr>
          <w:p>
            <w:pPr>
              <w:ind w:left="260"/>
              <w:spacing w:after="0"/>
              <w:rPr>
                <w:sz w:val="20"/>
                <w:szCs w:val="20"/>
                <w:color w:val="auto"/>
              </w:rPr>
            </w:pPr>
            <w:r>
              <w:rPr>
                <w:rFonts w:ascii="Arial" w:cs="Arial" w:eastAsia="Arial" w:hAnsi="Arial"/>
                <w:sz w:val="18"/>
                <w:szCs w:val="18"/>
                <w:color w:val="auto"/>
              </w:rPr>
              <w:t>Portugal</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Australia New Zealand Pty. Ltd.</w:t>
            </w:r>
          </w:p>
        </w:tc>
        <w:tc>
          <w:tcPr>
            <w:tcW w:w="3860" w:type="dxa"/>
            <w:vAlign w:val="bottom"/>
          </w:tcPr>
          <w:p>
            <w:pPr>
              <w:ind w:left="260"/>
              <w:spacing w:after="0"/>
              <w:rPr>
                <w:sz w:val="20"/>
                <w:szCs w:val="20"/>
                <w:color w:val="auto"/>
              </w:rPr>
            </w:pPr>
            <w:r>
              <w:rPr>
                <w:rFonts w:ascii="Arial" w:cs="Arial" w:eastAsia="Arial" w:hAnsi="Arial"/>
                <w:sz w:val="18"/>
                <w:szCs w:val="18"/>
                <w:color w:val="auto"/>
              </w:rPr>
              <w:t>Australia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Ventures Ltd.</w:t>
            </w:r>
          </w:p>
        </w:tc>
        <w:tc>
          <w:tcPr>
            <w:tcW w:w="3860" w:type="dxa"/>
            <w:vAlign w:val="bottom"/>
          </w:tcPr>
          <w:p>
            <w:pPr>
              <w:ind w:left="260"/>
              <w:spacing w:after="0"/>
              <w:rPr>
                <w:sz w:val="20"/>
                <w:szCs w:val="20"/>
                <w:color w:val="auto"/>
              </w:rPr>
            </w:pPr>
            <w:r>
              <w:rPr>
                <w:rFonts w:ascii="Arial" w:cs="Arial" w:eastAsia="Arial" w:hAnsi="Arial"/>
                <w:sz w:val="18"/>
                <w:szCs w:val="18"/>
                <w:color w:val="auto"/>
              </w:rPr>
              <w:t>Ireland</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Manitoba Harvest Japan K.K.</w:t>
            </w:r>
          </w:p>
        </w:tc>
        <w:tc>
          <w:tcPr>
            <w:tcW w:w="3860" w:type="dxa"/>
            <w:vAlign w:val="bottom"/>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Holdings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Fresh Hemp Foods Ltd. (dba Manitoba Harvest)</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Natura Naturals Holdings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NC Clinics Pty Ltd (formerly National Cannabinoid Clinics Pty Ltd.)</w:t>
            </w:r>
          </w:p>
        </w:tc>
        <w:tc>
          <w:tcPr>
            <w:tcW w:w="3860" w:type="dxa"/>
            <w:vAlign w:val="bottom"/>
          </w:tcPr>
          <w:p>
            <w:pPr>
              <w:ind w:left="260"/>
              <w:spacing w:after="0"/>
              <w:rPr>
                <w:sz w:val="20"/>
                <w:szCs w:val="20"/>
                <w:color w:val="auto"/>
              </w:rPr>
            </w:pPr>
            <w:r>
              <w:rPr>
                <w:rFonts w:ascii="Arial" w:cs="Arial" w:eastAsia="Arial" w:hAnsi="Arial"/>
                <w:sz w:val="18"/>
                <w:szCs w:val="18"/>
                <w:color w:val="auto"/>
              </w:rPr>
              <w:t>Australia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Latin America SpA</w:t>
            </w:r>
          </w:p>
        </w:tc>
        <w:tc>
          <w:tcPr>
            <w:tcW w:w="3860" w:type="dxa"/>
            <w:vAlign w:val="bottom"/>
          </w:tcPr>
          <w:p>
            <w:pPr>
              <w:ind w:left="260"/>
              <w:spacing w:after="0"/>
              <w:rPr>
                <w:sz w:val="20"/>
                <w:szCs w:val="20"/>
                <w:color w:val="auto"/>
              </w:rPr>
            </w:pPr>
            <w:r>
              <w:rPr>
                <w:rFonts w:ascii="Arial" w:cs="Arial" w:eastAsia="Arial" w:hAnsi="Arial"/>
                <w:sz w:val="18"/>
                <w:szCs w:val="18"/>
                <w:color w:val="auto"/>
              </w:rPr>
              <w:t>Chile</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Portugal II, Lda.</w:t>
            </w:r>
          </w:p>
        </w:tc>
        <w:tc>
          <w:tcPr>
            <w:tcW w:w="3860" w:type="dxa"/>
            <w:vAlign w:val="bottom"/>
          </w:tcPr>
          <w:p>
            <w:pPr>
              <w:ind w:left="260"/>
              <w:spacing w:after="0"/>
              <w:rPr>
                <w:sz w:val="20"/>
                <w:szCs w:val="20"/>
                <w:color w:val="auto"/>
              </w:rPr>
            </w:pPr>
            <w:r>
              <w:rPr>
                <w:rFonts w:ascii="Arial" w:cs="Arial" w:eastAsia="Arial" w:hAnsi="Arial"/>
                <w:sz w:val="18"/>
                <w:szCs w:val="18"/>
                <w:color w:val="auto"/>
              </w:rPr>
              <w:t>Portugal</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Gardens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Shops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Privateer Evolution, LLC</w:t>
            </w:r>
          </w:p>
        </w:tc>
        <w:tc>
          <w:tcPr>
            <w:tcW w:w="3860" w:type="dxa"/>
            <w:vAlign w:val="bottom"/>
          </w:tcPr>
          <w:p>
            <w:pPr>
              <w:ind w:left="260"/>
              <w:spacing w:after="0"/>
              <w:rPr>
                <w:sz w:val="20"/>
                <w:szCs w:val="20"/>
                <w:color w:val="auto"/>
              </w:rPr>
            </w:pPr>
            <w:r>
              <w:rPr>
                <w:rFonts w:ascii="Arial" w:cs="Arial" w:eastAsia="Arial" w:hAnsi="Arial"/>
                <w:sz w:val="18"/>
                <w:szCs w:val="18"/>
                <w:color w:val="auto"/>
              </w:rPr>
              <w:t>Delaware, United States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1197879 B.C.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Tilray France SAS</w:t>
            </w:r>
          </w:p>
        </w:tc>
        <w:tc>
          <w:tcPr>
            <w:tcW w:w="3860" w:type="dxa"/>
            <w:vAlign w:val="bottom"/>
          </w:tcPr>
          <w:p>
            <w:pPr>
              <w:ind w:left="260"/>
              <w:spacing w:after="0"/>
              <w:rPr>
                <w:sz w:val="20"/>
                <w:szCs w:val="20"/>
                <w:color w:val="auto"/>
              </w:rPr>
            </w:pPr>
            <w:r>
              <w:rPr>
                <w:rFonts w:ascii="Arial" w:cs="Arial" w:eastAsia="Arial" w:hAnsi="Arial"/>
                <w:sz w:val="18"/>
                <w:szCs w:val="18"/>
                <w:color w:val="auto"/>
              </w:rPr>
              <w:t>France</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Holdings B.V.</w:t>
            </w:r>
          </w:p>
        </w:tc>
        <w:tc>
          <w:tcPr>
            <w:tcW w:w="3860" w:type="dxa"/>
            <w:vAlign w:val="bottom"/>
          </w:tcPr>
          <w:p>
            <w:pPr>
              <w:ind w:left="260"/>
              <w:spacing w:after="0"/>
              <w:rPr>
                <w:sz w:val="20"/>
                <w:szCs w:val="20"/>
                <w:color w:val="auto"/>
              </w:rPr>
            </w:pPr>
            <w:r>
              <w:rPr>
                <w:rFonts w:ascii="Arial" w:cs="Arial" w:eastAsia="Arial" w:hAnsi="Arial"/>
                <w:sz w:val="18"/>
                <w:szCs w:val="18"/>
                <w:color w:val="auto"/>
              </w:rPr>
              <w:t>Netherlands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High Park Botanicals B.V</w:t>
            </w:r>
          </w:p>
        </w:tc>
        <w:tc>
          <w:tcPr>
            <w:tcW w:w="3860" w:type="dxa"/>
            <w:vAlign w:val="bottom"/>
          </w:tcPr>
          <w:p>
            <w:pPr>
              <w:ind w:left="260"/>
              <w:spacing w:after="0"/>
              <w:rPr>
                <w:sz w:val="20"/>
                <w:szCs w:val="20"/>
                <w:color w:val="auto"/>
              </w:rPr>
            </w:pPr>
            <w:r>
              <w:rPr>
                <w:rFonts w:ascii="Arial" w:cs="Arial" w:eastAsia="Arial" w:hAnsi="Arial"/>
                <w:sz w:val="18"/>
                <w:szCs w:val="18"/>
                <w:color w:val="auto"/>
              </w:rPr>
              <w:t>Netherlands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Aphria Inc.</w:t>
            </w:r>
          </w:p>
        </w:tc>
        <w:tc>
          <w:tcPr>
            <w:tcW w:w="3860" w:type="dxa"/>
            <w:vAlign w:val="bottom"/>
          </w:tcPr>
          <w:p>
            <w:pPr>
              <w:ind w:left="260"/>
              <w:spacing w:after="0"/>
              <w:rPr>
                <w:sz w:val="20"/>
                <w:szCs w:val="20"/>
                <w:color w:val="auto"/>
              </w:rPr>
            </w:pPr>
            <w:r>
              <w:rPr>
                <w:rFonts w:ascii="Arial" w:cs="Arial" w:eastAsia="Arial" w:hAnsi="Arial"/>
                <w:sz w:val="18"/>
                <w:szCs w:val="18"/>
                <w:color w:val="auto"/>
              </w:rPr>
              <w:t>Ontario,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LATAM Holdings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Broken Coast Cannabis Ltd.</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1974568 Ontario Limited (dba Aphria Diamond)</w:t>
            </w:r>
          </w:p>
        </w:tc>
        <w:tc>
          <w:tcPr>
            <w:tcW w:w="3860" w:type="dxa"/>
            <w:vAlign w:val="bottom"/>
          </w:tcPr>
          <w:p>
            <w:pPr>
              <w:ind w:left="260"/>
              <w:spacing w:after="0"/>
              <w:rPr>
                <w:sz w:val="20"/>
                <w:szCs w:val="20"/>
                <w:color w:val="auto"/>
              </w:rPr>
            </w:pPr>
            <w:r>
              <w:rPr>
                <w:rFonts w:ascii="Arial" w:cs="Arial" w:eastAsia="Arial" w:hAnsi="Arial"/>
                <w:sz w:val="18"/>
                <w:szCs w:val="18"/>
                <w:color w:val="auto"/>
              </w:rPr>
              <w:t>Ontario,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Nuuvera Holdings Limited</w:t>
            </w:r>
          </w:p>
        </w:tc>
        <w:tc>
          <w:tcPr>
            <w:tcW w:w="3860" w:type="dxa"/>
            <w:vAlign w:val="bottom"/>
          </w:tcPr>
          <w:p>
            <w:pPr>
              <w:ind w:left="260"/>
              <w:spacing w:after="0"/>
              <w:rPr>
                <w:sz w:val="20"/>
                <w:szCs w:val="20"/>
                <w:color w:val="auto"/>
              </w:rPr>
            </w:pPr>
            <w:r>
              <w:rPr>
                <w:rFonts w:ascii="Arial" w:cs="Arial" w:eastAsia="Arial" w:hAnsi="Arial"/>
                <w:sz w:val="18"/>
                <w:szCs w:val="18"/>
                <w:color w:val="auto"/>
              </w:rPr>
              <w:t>Ontario,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Aphria Terra S.R.L.</w:t>
            </w:r>
          </w:p>
        </w:tc>
        <w:tc>
          <w:tcPr>
            <w:tcW w:w="3860" w:type="dxa"/>
            <w:vAlign w:val="bottom"/>
          </w:tcPr>
          <w:p>
            <w:pPr>
              <w:ind w:left="260"/>
              <w:spacing w:after="0"/>
              <w:rPr>
                <w:sz w:val="20"/>
                <w:szCs w:val="20"/>
                <w:color w:val="auto"/>
              </w:rPr>
            </w:pPr>
            <w:r>
              <w:rPr>
                <w:rFonts w:ascii="Arial" w:cs="Arial" w:eastAsia="Arial" w:hAnsi="Arial"/>
                <w:sz w:val="18"/>
                <w:szCs w:val="18"/>
                <w:color w:val="auto"/>
              </w:rPr>
              <w:t>Italy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Goodfields Supply Co. Ltd</w:t>
            </w:r>
          </w:p>
        </w:tc>
        <w:tc>
          <w:tcPr>
            <w:tcW w:w="3860" w:type="dxa"/>
            <w:vAlign w:val="bottom"/>
          </w:tcPr>
          <w:p>
            <w:pPr>
              <w:ind w:left="260"/>
              <w:spacing w:after="0"/>
              <w:rPr>
                <w:sz w:val="20"/>
                <w:szCs w:val="20"/>
                <w:color w:val="auto"/>
              </w:rPr>
            </w:pPr>
            <w:r>
              <w:rPr>
                <w:rFonts w:ascii="Arial" w:cs="Arial" w:eastAsia="Arial" w:hAnsi="Arial"/>
                <w:sz w:val="18"/>
                <w:szCs w:val="18"/>
                <w:color w:val="auto"/>
              </w:rPr>
              <w:t>United Kingdom</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Nuuvera Malta Ltd.</w:t>
            </w:r>
          </w:p>
        </w:tc>
        <w:tc>
          <w:tcPr>
            <w:tcW w:w="3860" w:type="dxa"/>
            <w:vAlign w:val="bottom"/>
          </w:tcPr>
          <w:p>
            <w:pPr>
              <w:ind w:left="260"/>
              <w:spacing w:after="0"/>
              <w:rPr>
                <w:sz w:val="20"/>
                <w:szCs w:val="20"/>
                <w:color w:val="auto"/>
              </w:rPr>
            </w:pPr>
            <w:r>
              <w:rPr>
                <w:rFonts w:ascii="Arial" w:cs="Arial" w:eastAsia="Arial" w:hAnsi="Arial"/>
                <w:sz w:val="18"/>
                <w:szCs w:val="18"/>
                <w:color w:val="auto"/>
              </w:rPr>
              <w:t>Malta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Four Twenty Corporation</w:t>
            </w:r>
          </w:p>
        </w:tc>
        <w:tc>
          <w:tcPr>
            <w:tcW w:w="386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Earth’s Best Cannabis Company</w:t>
            </w:r>
          </w:p>
        </w:tc>
        <w:tc>
          <w:tcPr>
            <w:tcW w:w="386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Marigold Acquisitions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British Columbia,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MMJ Colombia Partners Inc.</w:t>
            </w:r>
          </w:p>
        </w:tc>
        <w:tc>
          <w:tcPr>
            <w:tcW w:w="3860" w:type="dxa"/>
            <w:vAlign w:val="bottom"/>
          </w:tcPr>
          <w:p>
            <w:pPr>
              <w:ind w:left="260"/>
              <w:spacing w:after="0"/>
              <w:rPr>
                <w:sz w:val="20"/>
                <w:szCs w:val="20"/>
                <w:color w:val="auto"/>
              </w:rPr>
            </w:pPr>
            <w:r>
              <w:rPr>
                <w:rFonts w:ascii="Arial" w:cs="Arial" w:eastAsia="Arial" w:hAnsi="Arial"/>
                <w:sz w:val="18"/>
                <w:szCs w:val="18"/>
                <w:color w:val="auto"/>
              </w:rPr>
              <w:t>Ontario,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MMJ International Investments Inc.</w:t>
            </w:r>
          </w:p>
        </w:tc>
        <w:tc>
          <w:tcPr>
            <w:tcW w:w="3860" w:type="dxa"/>
            <w:vAlign w:val="bottom"/>
          </w:tcPr>
          <w:p>
            <w:pPr>
              <w:ind w:left="260"/>
              <w:spacing w:after="0"/>
              <w:rPr>
                <w:sz w:val="20"/>
                <w:szCs w:val="20"/>
                <w:color w:val="auto"/>
              </w:rPr>
            </w:pPr>
            <w:r>
              <w:rPr>
                <w:rFonts w:ascii="Arial" w:cs="Arial" w:eastAsia="Arial" w:hAnsi="Arial"/>
                <w:sz w:val="18"/>
                <w:szCs w:val="18"/>
                <w:color w:val="auto"/>
              </w:rPr>
              <w:t>Ontario, Canada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Hampstead International (Barbados) Inc.</w:t>
            </w:r>
          </w:p>
        </w:tc>
        <w:tc>
          <w:tcPr>
            <w:tcW w:w="3860" w:type="dxa"/>
            <w:vAlign w:val="bottom"/>
          </w:tcPr>
          <w:p>
            <w:pPr>
              <w:ind w:left="260"/>
              <w:spacing w:after="0"/>
              <w:rPr>
                <w:sz w:val="20"/>
                <w:szCs w:val="20"/>
                <w:color w:val="auto"/>
              </w:rPr>
            </w:pPr>
            <w:r>
              <w:rPr>
                <w:rFonts w:ascii="Arial" w:cs="Arial" w:eastAsia="Arial" w:hAnsi="Arial"/>
                <w:sz w:val="18"/>
                <w:szCs w:val="18"/>
                <w:color w:val="auto"/>
              </w:rPr>
              <w:t>Barbados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Colcanna S.A.S</w:t>
            </w:r>
          </w:p>
        </w:tc>
        <w:tc>
          <w:tcPr>
            <w:tcW w:w="3860" w:type="dxa"/>
            <w:vAlign w:val="bottom"/>
          </w:tcPr>
          <w:p>
            <w:pPr>
              <w:ind w:left="260"/>
              <w:spacing w:after="0"/>
              <w:rPr>
                <w:sz w:val="20"/>
                <w:szCs w:val="20"/>
                <w:color w:val="auto"/>
              </w:rPr>
            </w:pPr>
            <w:r>
              <w:rPr>
                <w:rFonts w:ascii="Arial" w:cs="Arial" w:eastAsia="Arial" w:hAnsi="Arial"/>
                <w:sz w:val="18"/>
                <w:szCs w:val="18"/>
                <w:color w:val="auto"/>
              </w:rPr>
              <w:t>Colombia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ABP, S.A</w:t>
            </w:r>
          </w:p>
        </w:tc>
        <w:tc>
          <w:tcPr>
            <w:tcW w:w="3860" w:type="dxa"/>
            <w:vAlign w:val="bottom"/>
          </w:tcPr>
          <w:p>
            <w:pPr>
              <w:ind w:left="260"/>
              <w:spacing w:after="0"/>
              <w:rPr>
                <w:sz w:val="20"/>
                <w:szCs w:val="20"/>
                <w:color w:val="auto"/>
              </w:rPr>
            </w:pPr>
            <w:r>
              <w:rPr>
                <w:rFonts w:ascii="Arial" w:cs="Arial" w:eastAsia="Arial" w:hAnsi="Arial"/>
                <w:sz w:val="18"/>
                <w:szCs w:val="18"/>
                <w:color w:val="auto"/>
              </w:rPr>
              <w:t>Argentina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FL Group S.R.L.</w:t>
            </w:r>
          </w:p>
        </w:tc>
        <w:tc>
          <w:tcPr>
            <w:tcW w:w="3860" w:type="dxa"/>
            <w:vAlign w:val="bottom"/>
          </w:tcPr>
          <w:p>
            <w:pPr>
              <w:ind w:left="260"/>
              <w:spacing w:after="0"/>
              <w:rPr>
                <w:sz w:val="20"/>
                <w:szCs w:val="20"/>
                <w:color w:val="auto"/>
              </w:rPr>
            </w:pPr>
            <w:r>
              <w:rPr>
                <w:rFonts w:ascii="Arial" w:cs="Arial" w:eastAsia="Arial" w:hAnsi="Arial"/>
                <w:sz w:val="18"/>
                <w:szCs w:val="18"/>
                <w:color w:val="auto"/>
              </w:rPr>
              <w:t>Italy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Aphria Germany GmbH (formerly Nuuvera Deutschland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Aphria RX GmbH (formerly Aphria Deutschland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CC Pharma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Aphria Wellbeing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CC Pharma Research &amp; Development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CC Pharma Nordic APS</w:t>
            </w:r>
          </w:p>
        </w:tc>
        <w:tc>
          <w:tcPr>
            <w:tcW w:w="3860" w:type="dxa"/>
            <w:vAlign w:val="bottom"/>
          </w:tcPr>
          <w:p>
            <w:pPr>
              <w:ind w:left="260"/>
              <w:spacing w:after="0"/>
              <w:rPr>
                <w:sz w:val="20"/>
                <w:szCs w:val="20"/>
                <w:color w:val="auto"/>
              </w:rPr>
            </w:pPr>
            <w:r>
              <w:rPr>
                <w:rFonts w:ascii="Arial" w:cs="Arial" w:eastAsia="Arial" w:hAnsi="Arial"/>
                <w:sz w:val="18"/>
                <w:szCs w:val="18"/>
                <w:color w:val="auto"/>
              </w:rPr>
              <w:t>Denmark</w:t>
            </w:r>
          </w:p>
        </w:tc>
      </w:tr>
      <w:tr>
        <w:trPr>
          <w:trHeight w:val="574"/>
        </w:trPr>
        <w:tc>
          <w:tcPr>
            <w:tcW w:w="38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bottom w:val="single" w:sz="8" w:color="auto"/>
            </w:tcBorders>
            <w:shd w:val="clear" w:color="auto" w:fill="DEEBF6"/>
          </w:tcPr>
          <w:p>
            <w:pPr>
              <w:spacing w:after="0"/>
              <w:rPr>
                <w:sz w:val="20"/>
                <w:szCs w:val="20"/>
                <w:color w:val="auto"/>
              </w:rPr>
            </w:pPr>
            <w:r>
              <w:rPr>
                <w:rFonts w:ascii="Arial" w:cs="Arial" w:eastAsia="Arial" w:hAnsi="Arial"/>
                <w:sz w:val="18"/>
                <w:szCs w:val="18"/>
                <w:b w:val="1"/>
                <w:bCs w:val="1"/>
                <w:color w:val="auto"/>
              </w:rPr>
              <w:t>Name of entity</w:t>
            </w:r>
          </w:p>
        </w:tc>
        <w:tc>
          <w:tcPr>
            <w:tcW w:w="5700" w:type="dxa"/>
            <w:vAlign w:val="bottom"/>
            <w:tcBorders>
              <w:bottom w:val="single" w:sz="8" w:color="auto"/>
            </w:tcBorders>
            <w:shd w:val="clear" w:color="auto" w:fill="DEEBF6"/>
          </w:tcPr>
          <w:p>
            <w:pPr>
              <w:ind w:left="2100"/>
              <w:spacing w:after="0"/>
              <w:rPr>
                <w:sz w:val="20"/>
                <w:szCs w:val="20"/>
                <w:color w:val="auto"/>
              </w:rPr>
            </w:pPr>
            <w:r>
              <w:rPr>
                <w:rFonts w:ascii="Arial" w:cs="Arial" w:eastAsia="Arial" w:hAnsi="Arial"/>
                <w:sz w:val="18"/>
                <w:szCs w:val="18"/>
                <w:b w:val="1"/>
                <w:bCs w:val="1"/>
                <w:color w:val="auto"/>
              </w:rPr>
              <w:t>Place of incorporation</w:t>
            </w: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Canninvest Africa Ltd.</w:t>
            </w:r>
          </w:p>
        </w:tc>
        <w:tc>
          <w:tcPr>
            <w:tcW w:w="5700" w:type="dxa"/>
            <w:vAlign w:val="bottom"/>
          </w:tcPr>
          <w:p>
            <w:pPr>
              <w:ind w:left="2100"/>
              <w:spacing w:after="0" w:line="195" w:lineRule="exact"/>
              <w:rPr>
                <w:sz w:val="20"/>
                <w:szCs w:val="20"/>
                <w:color w:val="auto"/>
              </w:rPr>
            </w:pPr>
            <w:r>
              <w:rPr>
                <w:rFonts w:ascii="Arial" w:cs="Arial" w:eastAsia="Arial" w:hAnsi="Arial"/>
                <w:sz w:val="18"/>
                <w:szCs w:val="18"/>
                <w:color w:val="auto"/>
              </w:rPr>
              <w:t>South Africa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Verve Dynamics Incorporated (PTY) Ltd.</w:t>
            </w:r>
          </w:p>
        </w:tc>
        <w:tc>
          <w:tcPr>
            <w:tcW w:w="5700" w:type="dxa"/>
            <w:vAlign w:val="bottom"/>
          </w:tcPr>
          <w:p>
            <w:pPr>
              <w:ind w:left="2100"/>
              <w:spacing w:after="0"/>
              <w:rPr>
                <w:sz w:val="20"/>
                <w:szCs w:val="20"/>
                <w:color w:val="auto"/>
              </w:rPr>
            </w:pPr>
            <w:r>
              <w:rPr>
                <w:rFonts w:ascii="Arial" w:cs="Arial" w:eastAsia="Arial" w:hAnsi="Arial"/>
                <w:sz w:val="18"/>
                <w:szCs w:val="18"/>
                <w:color w:val="auto"/>
              </w:rPr>
              <w:t>Lesotho</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2787643 Ontario Inc.</w:t>
            </w:r>
          </w:p>
        </w:tc>
        <w:tc>
          <w:tcPr>
            <w:tcW w:w="5700" w:type="dxa"/>
            <w:vAlign w:val="bottom"/>
          </w:tcPr>
          <w:p>
            <w:pPr>
              <w:ind w:left="2100"/>
              <w:spacing w:after="0"/>
              <w:rPr>
                <w:sz w:val="20"/>
                <w:szCs w:val="20"/>
                <w:color w:val="auto"/>
              </w:rPr>
            </w:pPr>
            <w:r>
              <w:rPr>
                <w:rFonts w:ascii="Arial" w:cs="Arial" w:eastAsia="Arial" w:hAnsi="Arial"/>
                <w:sz w:val="18"/>
                <w:szCs w:val="18"/>
                <w:color w:val="auto"/>
              </w:rPr>
              <w:t>Ontario, Canada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ARA - Avanti RX Analytics Inc.</w:t>
            </w:r>
          </w:p>
        </w:tc>
        <w:tc>
          <w:tcPr>
            <w:tcW w:w="5700" w:type="dxa"/>
            <w:vAlign w:val="bottom"/>
          </w:tcPr>
          <w:p>
            <w:pPr>
              <w:ind w:left="2100"/>
              <w:spacing w:after="0"/>
              <w:rPr>
                <w:sz w:val="20"/>
                <w:szCs w:val="20"/>
                <w:color w:val="auto"/>
              </w:rPr>
            </w:pPr>
            <w:r>
              <w:rPr>
                <w:rFonts w:ascii="Arial" w:cs="Arial" w:eastAsia="Arial" w:hAnsi="Arial"/>
                <w:sz w:val="18"/>
                <w:szCs w:val="18"/>
                <w:color w:val="auto"/>
              </w:rPr>
              <w:t>Ontario, Canada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Nuuvera Israel Ltd.</w:t>
            </w:r>
          </w:p>
        </w:tc>
        <w:tc>
          <w:tcPr>
            <w:tcW w:w="5700" w:type="dxa"/>
            <w:vAlign w:val="bottom"/>
          </w:tcPr>
          <w:p>
            <w:pPr>
              <w:ind w:left="2100"/>
              <w:spacing w:after="0"/>
              <w:rPr>
                <w:sz w:val="20"/>
                <w:szCs w:val="20"/>
                <w:color w:val="auto"/>
              </w:rPr>
            </w:pPr>
            <w:r>
              <w:rPr>
                <w:rFonts w:ascii="Arial" w:cs="Arial" w:eastAsia="Arial" w:hAnsi="Arial"/>
                <w:sz w:val="18"/>
                <w:szCs w:val="18"/>
                <w:color w:val="auto"/>
              </w:rPr>
              <w:t>Israel</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ASG Pharma Ltd.</w:t>
            </w:r>
          </w:p>
        </w:tc>
        <w:tc>
          <w:tcPr>
            <w:tcW w:w="5700" w:type="dxa"/>
            <w:vAlign w:val="bottom"/>
          </w:tcPr>
          <w:p>
            <w:pPr>
              <w:ind w:left="210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QSG Health Ltd.</w:t>
            </w:r>
          </w:p>
        </w:tc>
        <w:tc>
          <w:tcPr>
            <w:tcW w:w="5700" w:type="dxa"/>
            <w:vAlign w:val="bottom"/>
          </w:tcPr>
          <w:p>
            <w:pPr>
              <w:ind w:left="210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Aphria Malta Limited</w:t>
            </w:r>
          </w:p>
        </w:tc>
        <w:tc>
          <w:tcPr>
            <w:tcW w:w="5700" w:type="dxa"/>
            <w:vAlign w:val="bottom"/>
          </w:tcPr>
          <w:p>
            <w:pPr>
              <w:ind w:left="210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SW Brewing Company, LLC</w:t>
            </w:r>
          </w:p>
        </w:tc>
        <w:tc>
          <w:tcPr>
            <w:tcW w:w="5700" w:type="dxa"/>
            <w:vAlign w:val="bottom"/>
          </w:tcPr>
          <w:p>
            <w:pPr>
              <w:ind w:left="2100"/>
              <w:spacing w:after="0"/>
              <w:rPr>
                <w:sz w:val="20"/>
                <w:szCs w:val="20"/>
                <w:color w:val="auto"/>
              </w:rPr>
            </w:pPr>
            <w:r>
              <w:rPr>
                <w:rFonts w:ascii="Arial" w:cs="Arial" w:eastAsia="Arial" w:hAnsi="Arial"/>
                <w:sz w:val="18"/>
                <w:szCs w:val="18"/>
                <w:color w:val="auto"/>
              </w:rPr>
              <w:t>United States</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SweetWater Colorado Brewing Company, LLC</w:t>
            </w:r>
          </w:p>
        </w:tc>
        <w:tc>
          <w:tcPr>
            <w:tcW w:w="5700" w:type="dxa"/>
            <w:vAlign w:val="bottom"/>
          </w:tcPr>
          <w:p>
            <w:pPr>
              <w:ind w:left="2100"/>
              <w:spacing w:after="0"/>
              <w:rPr>
                <w:sz w:val="20"/>
                <w:szCs w:val="20"/>
                <w:color w:val="auto"/>
              </w:rPr>
            </w:pPr>
            <w:r>
              <w:rPr>
                <w:rFonts w:ascii="Arial" w:cs="Arial" w:eastAsia="Arial" w:hAnsi="Arial"/>
                <w:sz w:val="18"/>
                <w:szCs w:val="18"/>
                <w:color w:val="auto"/>
              </w:rPr>
              <w:t>Delaware, 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SweetWater Brewing Company, LLC</w:t>
            </w:r>
          </w:p>
        </w:tc>
        <w:tc>
          <w:tcPr>
            <w:tcW w:w="5700" w:type="dxa"/>
            <w:vAlign w:val="bottom"/>
          </w:tcPr>
          <w:p>
            <w:pPr>
              <w:ind w:left="2100"/>
              <w:spacing w:after="0"/>
              <w:rPr>
                <w:sz w:val="20"/>
                <w:szCs w:val="20"/>
                <w:color w:val="auto"/>
              </w:rPr>
            </w:pPr>
            <w:r>
              <w:rPr>
                <w:rFonts w:ascii="Arial" w:cs="Arial" w:eastAsia="Arial" w:hAnsi="Arial"/>
                <w:sz w:val="18"/>
                <w:szCs w:val="18"/>
                <w:color w:val="auto"/>
              </w:rPr>
              <w:t>Georgia, United States</w:t>
            </w:r>
          </w:p>
        </w:tc>
      </w:tr>
    </w:tbl>
    <w:p>
      <w:pPr>
        <w:sectPr>
          <w:pgSz w:w="11900" w:h="16838" w:orient="portrait"/>
          <w:cols w:equalWidth="0" w:num="1">
            <w:col w:w="11240"/>
          </w:cols>
          <w:pgMar w:left="320" w:top="598" w:right="339" w:bottom="1440" w:gutter="0" w:footer="0" w:header="0"/>
        </w:sectPr>
      </w:pPr>
    </w:p>
    <w:bookmarkStart w:id="138" w:name="page139"/>
    <w:bookmarkEnd w:id="138"/>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Forms S-3 (333-267788 and 333-255850) and Forms S-8 (333-272838, 333-266695, 333-256023, 333-238179, 333-235581, 333-231539 and 333-226267) of Tilray Brands, Inc. of our report dated July 26, 2023 relating to the consolidated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Oakville, 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26, 2023</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Irwin Simon, certify that:</w:t>
      </w:r>
    </w:p>
    <w:p>
      <w:pPr>
        <w:spacing w:after="0" w:line="225"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Brands, Inc.</w:t>
      </w:r>
    </w:p>
    <w:p>
      <w:pPr>
        <w:spacing w:after="0" w:line="225" w:lineRule="exact"/>
        <w:rPr>
          <w:rFonts w:ascii="Arial" w:cs="Arial" w:eastAsia="Arial" w:hAnsi="Arial"/>
          <w:sz w:val="18"/>
          <w:szCs w:val="18"/>
          <w:color w:val="auto"/>
        </w:rPr>
      </w:pPr>
    </w:p>
    <w:p>
      <w:pPr>
        <w:jc w:val="both"/>
        <w:ind w:left="320" w:right="460" w:hanging="312"/>
        <w:spacing w:after="0" w:line="263"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420" w:hanging="312"/>
        <w:spacing w:after="0" w:line="308"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20" w:right="480" w:hanging="312"/>
        <w:spacing w:after="0" w:line="263"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40" w:right="400" w:hanging="318"/>
        <w:spacing w:after="0" w:line="263" w:lineRule="auto"/>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40" w:right="80" w:hanging="318"/>
        <w:spacing w:after="0" w:line="263" w:lineRule="auto"/>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40" w:right="880" w:hanging="318"/>
        <w:spacing w:after="0" w:line="342" w:lineRule="auto"/>
        <w:tabs>
          <w:tab w:leader="none" w:pos="6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40" w:right="120" w:hanging="318"/>
        <w:spacing w:after="0" w:line="263" w:lineRule="auto"/>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160" w:hanging="312"/>
        <w:spacing w:after="0" w:line="308"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right="300" w:hanging="318"/>
        <w:spacing w:after="0" w:line="277" w:lineRule="auto"/>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right="280" w:hanging="318"/>
        <w:spacing w:after="0" w:line="277" w:lineRule="auto"/>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560" w:val="left"/>
          <w:tab w:leader="none" w:pos="598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Irwin Simon</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 Merton, certify that:</w:t>
      </w:r>
    </w:p>
    <w:p>
      <w:pPr>
        <w:spacing w:after="0" w:line="225"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Brands, Inc.</w:t>
      </w:r>
    </w:p>
    <w:p>
      <w:pPr>
        <w:spacing w:after="0" w:line="225" w:lineRule="exact"/>
        <w:rPr>
          <w:rFonts w:ascii="Arial" w:cs="Arial" w:eastAsia="Arial" w:hAnsi="Arial"/>
          <w:sz w:val="18"/>
          <w:szCs w:val="18"/>
          <w:color w:val="auto"/>
        </w:rPr>
      </w:pPr>
    </w:p>
    <w:p>
      <w:pPr>
        <w:jc w:val="both"/>
        <w:ind w:left="320" w:right="460" w:hanging="312"/>
        <w:spacing w:after="0" w:line="263"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420" w:hanging="312"/>
        <w:spacing w:after="0" w:line="308" w:lineRule="auto"/>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20" w:right="480" w:hanging="312"/>
        <w:spacing w:after="0" w:line="263"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40" w:right="400" w:hanging="318"/>
        <w:spacing w:after="0" w:line="263"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40" w:right="80" w:hanging="318"/>
        <w:spacing w:after="0" w:line="263"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40" w:right="880" w:hanging="318"/>
        <w:spacing w:after="0" w:line="342" w:lineRule="auto"/>
        <w:tabs>
          <w:tab w:leader="none" w:pos="6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40" w:right="120" w:hanging="318"/>
        <w:spacing w:after="0" w:line="263"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160" w:hanging="312"/>
        <w:spacing w:after="0" w:line="308" w:lineRule="auto"/>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right="300" w:hanging="318"/>
        <w:spacing w:after="0" w:line="277"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right="280" w:hanging="318"/>
        <w:spacing w:after="0" w:line="277"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560" w:val="left"/>
          <w:tab w:leader="none" w:pos="598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Carl Merton</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41" w:name="page142"/>
    <w:bookmarkEnd w:id="14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Irwin Simon, President and Chief Executive Officer of Tilray Brands, Inc. (the “Company”), and Carl Merton, Chief Financial Officer of the Company, each hereby certifies that, to the best of his knowledge:</w:t>
      </w:r>
    </w:p>
    <w:p>
      <w:pPr>
        <w:spacing w:after="0" w:line="165" w:lineRule="exact"/>
        <w:rPr>
          <w:sz w:val="20"/>
          <w:szCs w:val="20"/>
          <w:color w:val="auto"/>
        </w:rPr>
      </w:pPr>
    </w:p>
    <w:p>
      <w:pPr>
        <w:ind w:left="320" w:hanging="312"/>
        <w:spacing w:after="0" w:line="277" w:lineRule="auto"/>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May 31, 2023,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320" w:hanging="312"/>
        <w:spacing w:after="0" w:line="277" w:lineRule="auto"/>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the undersigned have set their hands hereto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26</w:t>
      </w:r>
      <w:r>
        <w:rPr>
          <w:rFonts w:ascii="Arial" w:cs="Arial" w:eastAsia="Arial" w:hAnsi="Arial"/>
          <w:sz w:val="21"/>
          <w:szCs w:val="21"/>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2"/>
          <w:szCs w:val="12"/>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J</w:t>
      </w:r>
      <w:r>
        <w:rPr>
          <w:rFonts w:ascii="Arial" w:cs="Arial" w:eastAsia="Arial" w:hAnsi="Arial"/>
          <w:sz w:val="12"/>
          <w:szCs w:val="12"/>
          <w:color w:val="auto"/>
        </w:rPr>
        <w:t>uly</w:t>
      </w:r>
      <w:r>
        <w:rPr>
          <w:rFonts w:ascii="Arial" w:cs="Arial" w:eastAsia="Arial" w:hAnsi="Arial"/>
          <w:sz w:val="18"/>
          <w:szCs w:val="18"/>
          <w:b w:val="1"/>
          <w:bCs w:val="1"/>
          <w:color w:val="auto"/>
        </w:rPr>
        <w:t xml:space="preserve"> </w:t>
      </w:r>
      <w:r>
        <w:rPr>
          <w:rFonts w:ascii="Arial" w:cs="Arial" w:eastAsia="Arial" w:hAnsi="Arial"/>
          <w:sz w:val="18"/>
          <w:szCs w:val="18"/>
          <w:color w:val="auto"/>
        </w:rPr>
        <w:t>2023.</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Irwin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Irwin Simon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Carl Merton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 Merton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Tilray Brands,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endash "/>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bullet"/>
      <w:start w:val="1"/>
    </w:lvl>
  </w:abstractNum>
  <w:abstractNum w:abstractNumId="20">
    <w:nsid w:val="725A06FB"/>
    <w:multiLevelType w:val="hybridMultilevel"/>
    <w:lvl w:ilvl="0">
      <w:lvlJc w:val="left"/>
      <w:lvlText w:val="2"/>
      <w:numFmt w:val="bullet"/>
      <w:start w:val="1"/>
    </w:lvl>
  </w:abstractNum>
  <w:abstractNum w:abstractNumId="21">
    <w:nsid w:val="2CD89A32"/>
    <w:multiLevelType w:val="hybridMultilevel"/>
    <w:lvl w:ilvl="0">
      <w:lvlJc w:val="left"/>
      <w:lvlText w:val="3"/>
      <w:numFmt w:val="bullet"/>
      <w:start w:val="1"/>
    </w:lvl>
  </w:abstractNum>
  <w:abstractNum w:abstractNumId="22">
    <w:nsid w:val="57E4CCAF"/>
    <w:multiLevelType w:val="hybridMultilevel"/>
    <w:lvl w:ilvl="0">
      <w:lvlJc w:val="left"/>
      <w:lvlText w:val="4"/>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upperLetter"/>
      <w:start w:val="29"/>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decimal"/>
      <w:start w:val="3"/>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5"/>
    </w:lvl>
  </w:abstractNum>
  <w:abstractNum w:abstractNumId="42">
    <w:nsid w:val="23F9C13C"/>
    <w:multiLevelType w:val="hybridMultilevel"/>
    <w:lvl w:ilvl="0">
      <w:lvlJc w:val="left"/>
      <w:lvlText w:val="%1."/>
      <w:numFmt w:val="decimal"/>
      <w:start w:val="27"/>
    </w:lvl>
  </w:abstractNum>
  <w:abstractNum w:abstractNumId="43">
    <w:nsid w:val="649BB77C"/>
    <w:multiLevelType w:val="hybridMultilevel"/>
    <w:lvl w:ilvl="0">
      <w:lvlJc w:val="left"/>
      <w:lvlText w:val="(%1)"/>
      <w:numFmt w:val="lowerRoman"/>
      <w:start w:val="1"/>
    </w:lvl>
  </w:abstractNum>
  <w:abstractNum w:abstractNumId="44">
    <w:nsid w:val="275AC794"/>
    <w:multiLevelType w:val="hybridMultilevel"/>
    <w:lvl w:ilvl="0">
      <w:lvlJc w:val="left"/>
      <w:lvlText w:val="%1."/>
      <w:numFmt w:val="decimal"/>
      <w:start w:val="28"/>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lowerLetter"/>
      <w:start w:val="1"/>
    </w:lvl>
    <w:lvl w:ilvl="1">
      <w:lvlJc w:val="left"/>
      <w:lvlText w:val="(%2)"/>
      <w:numFmt w:val="decimal"/>
      <w:start w:val="1"/>
    </w:lvl>
  </w:abstractNum>
  <w:abstractNum w:abstractNumId="52">
    <w:nsid w:val="741226BB"/>
    <w:multiLevelType w:val="hybridMultilevel"/>
    <w:lvl w:ilvl="0">
      <w:lvlJc w:val="left"/>
      <w:lvlText w:val="%1"/>
      <w:numFmt w:val="lowerLetter"/>
      <w:start w:val="1"/>
    </w:lvl>
    <w:lvl w:ilvl="1">
      <w:lvlJc w:val="left"/>
      <w:lvlText w:val="(%2)"/>
      <w:numFmt w:val="decimal"/>
      <w:start w:val="3"/>
    </w:lvl>
  </w:abstractNum>
  <w:abstractNum w:abstractNumId="53">
    <w:nsid w:val="D34B6A8"/>
    <w:multiLevelType w:val="hybridMultilevel"/>
    <w:lvl w:ilvl="0">
      <w:lvlJc w:val="left"/>
      <w:lvlText w:val="(%1)"/>
      <w:numFmt w:val="lowerLetter"/>
      <w:start w:val="2"/>
    </w:lvl>
    <w:lvl w:ilvl="1">
      <w:lvlJc w:val="left"/>
      <w:lvlText w:val="%2"/>
      <w:numFmt w:val="decimal"/>
      <w:start w:val="1"/>
    </w:lvl>
  </w:abstractNum>
  <w:abstractNum w:abstractNumId="54">
    <w:nsid w:val="10233C99"/>
    <w:multiLevelType w:val="hybridMultilevel"/>
    <w:lvl w:ilvl="0">
      <w:lvlJc w:val="left"/>
      <w:lvlText w:val="%1"/>
      <w:numFmt w:val="decimal"/>
      <w:start w:val="10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33" Type="http://schemas.openxmlformats.org/officeDocument/2006/relationships/hyperlink" Target="http://www.sec.gov/Archives/edgar/data/1731348/000119312518197670/d545137dex31.htm" TargetMode="External"/><Relationship Id="rId134" Type="http://schemas.openxmlformats.org/officeDocument/2006/relationships/hyperlink" Target="http://www.sec.gov/Archives/edgar/data/0001731348/000156459022000782/tlry-ex31_39.htm" TargetMode="External"/><Relationship Id="rId135" Type="http://schemas.openxmlformats.org/officeDocument/2006/relationships/hyperlink" Target="http://www.sec.gov/Archives/edgar/data/0001731348/000156459022000856/tlry-ex31_6.htm" TargetMode="External"/><Relationship Id="rId136" Type="http://schemas.openxmlformats.org/officeDocument/2006/relationships/hyperlink" Target="http://www.sec.gov/Archives/edgar/data/1731348/000119312520261461/d89853dex31.htm" TargetMode="External"/><Relationship Id="rId137" Type="http://schemas.openxmlformats.org/officeDocument/2006/relationships/hyperlink" Target="http://www.sec.gov/Archives/edgar/data/1731348/000143774923009857/ex_495803.htm" TargetMode="External"/><Relationship Id="rId138" Type="http://schemas.openxmlformats.org/officeDocument/2006/relationships/hyperlink" Target="http://www.sec.gov/Archives/edgar/data/1731348/000114036123007736/ny20007663x2_ex3-1.htm" TargetMode="External"/><Relationship Id="rId139" Type="http://schemas.openxmlformats.org/officeDocument/2006/relationships/hyperlink" Target="http://www.sec.gov/Archives/edgar/data/0001731348/000156459022000856/tlry-ex32_7.htm" TargetMode="External"/><Relationship Id="rId140" Type="http://schemas.openxmlformats.org/officeDocument/2006/relationships/hyperlink" Target="http://www.sec.gov/Archives/edgar/data/1731348/000119312518296924/d637868dex41.htm" TargetMode="External"/><Relationship Id="rId141" Type="http://schemas.openxmlformats.org/officeDocument/2006/relationships/hyperlink" Target="http://www.sec.gov/Archives/edgar/data/1731348/000114036121015755/nt10023917x2_ex4-1.htm" TargetMode="External"/><Relationship Id="rId142" Type="http://schemas.openxmlformats.org/officeDocument/2006/relationships/hyperlink" Target="http://www.sec.gov/Archives/edgar/data/0001731348/000114036121015755/nt10023917x2_ex4-2.htm" TargetMode="External"/><Relationship Id="rId143" Type="http://schemas.openxmlformats.org/officeDocument/2006/relationships/hyperlink" Target="http://www.sec.gov/Archives/edgar/data/1731348/000119312520075221/d836331dex41.htm" TargetMode="External"/><Relationship Id="rId144" Type="http://schemas.openxmlformats.org/officeDocument/2006/relationships/hyperlink" Target="http://www.sec.gov/Archives/edgar/data/1731348/000119312520075221/d836331dex42.htm" TargetMode="External"/><Relationship Id="rId145" Type="http://schemas.openxmlformats.org/officeDocument/2006/relationships/hyperlink" Target="http://www.sec.gov/Archives/edgar/data/1731348/000117184322000583/exh_41.htm" TargetMode="External"/><Relationship Id="rId146" Type="http://schemas.openxmlformats.org/officeDocument/2006/relationships/hyperlink" Target="http://www.sec.gov/Archives/edgar/data/1731348/000117184322000583/exh_42.htm" TargetMode="External"/><Relationship Id="rId147" Type="http://schemas.openxmlformats.org/officeDocument/2006/relationships/hyperlink" Target="http://www.sec.gov/Archives/edgar/data/1731348/000117184322000583/exh_43.htm" TargetMode="External"/><Relationship Id="rId148" Type="http://schemas.openxmlformats.org/officeDocument/2006/relationships/hyperlink" Target="http://www.sec.gov/Archives/edgar/data/1731348/000119312518214179/d545137dex102.htm" TargetMode="External"/><Relationship Id="rId149" Type="http://schemas.openxmlformats.org/officeDocument/2006/relationships/hyperlink" Target="http://www.sec.gov/Archives/edgar/data/1731348/000119312518214179/d545137dex103.htm" TargetMode="External"/><Relationship Id="rId150" Type="http://schemas.openxmlformats.org/officeDocument/2006/relationships/hyperlink" Target="http://www.sec.gov/Archives/edgar/data/1731348/000119312518214179/d545137dex104.htm" TargetMode="External"/><Relationship Id="rId151" Type="http://schemas.openxmlformats.org/officeDocument/2006/relationships/hyperlink" Target="http://www.sec.gov/Archives/edgar/data/1731348/000119312518214179/d545137dex105.htm" TargetMode="External"/><Relationship Id="rId152" Type="http://schemas.openxmlformats.org/officeDocument/2006/relationships/hyperlink" Target="http://www.sec.gov/Archives/edgar/data/0001731348/000156459021006942/tlry-ex1011_272.htm" TargetMode="External"/><Relationship Id="rId153" Type="http://schemas.openxmlformats.org/officeDocument/2006/relationships/hyperlink" Target="http://www.sec.gov/Archives/edgar/data/1731348/000156459021006942/tlry-ex1012_271.htm" TargetMode="External"/><Relationship Id="rId154" Type="http://schemas.openxmlformats.org/officeDocument/2006/relationships/hyperlink" Target="http://www.sec.gov/Archives/edgar/data/0001731348/000156459021038648/tlry-ex1039_688.htm" TargetMode="External"/><Relationship Id="rId155" Type="http://schemas.openxmlformats.org/officeDocument/2006/relationships/hyperlink" Target="http://www.sec.gov/Archives/edgar/data/1731348/000143774922028136/ex_451004.htm" TargetMode="External"/><Relationship Id="rId156" Type="http://schemas.openxmlformats.org/officeDocument/2006/relationships/hyperlink" Target="http://www.sec.gov/Archives/edgar/data/1731348/000156459021038648/tlry-ex1041_747.htm" TargetMode="External"/><Relationship Id="rId157" Type="http://schemas.openxmlformats.org/officeDocument/2006/relationships/hyperlink" Target="http://www.sec.gov/Archives/edgar/data/0001731348/000156459021050422/tlry-ex101_15.htm" TargetMode="External"/><Relationship Id="rId158" Type="http://schemas.openxmlformats.org/officeDocument/2006/relationships/hyperlink" Target="http://www.sec.gov/Archives/edgar/data/0001731348/000156459021050422/tlry-ex102_16.htm" TargetMode="External"/><Relationship Id="rId159" Type="http://schemas.openxmlformats.org/officeDocument/2006/relationships/hyperlink" Target="http://www.sec.gov/Archives/edgar/data/0001731348/000156459021050422/tlry-ex103_14.htm" TargetMode="External"/><Relationship Id="rId160" Type="http://schemas.openxmlformats.org/officeDocument/2006/relationships/hyperlink" Target="http://www.sec.gov/Archives/edgar/data/0001731348/000156459021050422/tlry-ex104_13.htm" TargetMode="External"/><Relationship Id="rId161" Type="http://schemas.openxmlformats.org/officeDocument/2006/relationships/hyperlink" Target="http://www.sec.gov/Archives/edgar/data/1731348/000156459022026894/tlry-ex1014_195.htm" TargetMode="External"/><Relationship Id="rId162" Type="http://schemas.openxmlformats.org/officeDocument/2006/relationships/hyperlink" Target="http://www.sec.gov/Archives/edgar/data/0001731348/000156459021050422/tlry-ex105_19.htm" TargetMode="External"/><Relationship Id="rId163" Type="http://schemas.openxmlformats.org/officeDocument/2006/relationships/hyperlink" Target="http://www.sec.gov/Archives/edgar/data/0001731348/000156459021050422/tlry-ex106_18.htm" TargetMode="External"/><Relationship Id="rId164" Type="http://schemas.openxmlformats.org/officeDocument/2006/relationships/hyperlink" Target="http://www.sec.gov/Archives/edgar/data/0001731348/000156459021050422/tlry-ex107_17.htm" TargetMode="External"/><Relationship Id="rId165" Type="http://schemas.openxmlformats.org/officeDocument/2006/relationships/hyperlink" Target="http://www.sec.gov/Archives/edgar/data/1731348/000156459021050422/tlry-ex108_263.htm" TargetMode="External"/><Relationship Id="rId166" Type="http://schemas.openxmlformats.org/officeDocument/2006/relationships/hyperlink" Target="http://www.sec.gov/Archives/edgar/data/0001731348/000156459021050422/tlry-ex109_265.htm" TargetMode="External"/><Relationship Id="rId167" Type="http://schemas.openxmlformats.org/officeDocument/2006/relationships/hyperlink" Target="http://www.sec.gov/Archives/edgar/data/0001731348/000156459021050422/tlry-ex1010_266.htm" TargetMode="External"/><Relationship Id="rId168" Type="http://schemas.openxmlformats.org/officeDocument/2006/relationships/hyperlink" Target="http://www.sec.gov/Archives/edgar/data/0001731348/000156459021050422/tlry-ex1011_264.htm" TargetMode="External"/><Relationship Id="rId169" Type="http://schemas.openxmlformats.org/officeDocument/2006/relationships/hyperlink" Target="http://www.sec.gov/Archives/edgar/data/1731348/000156459021050422/tlry-ex1012_262.htm" TargetMode="External"/><Relationship Id="rId170" Type="http://schemas.openxmlformats.org/officeDocument/2006/relationships/hyperlink" Target="http://www.sec.gov/Archives/edgar/data/0001731348/000156459022000782/tlry-ex101_40.htm" TargetMode="External"/><Relationship Id="rId171" Type="http://schemas.openxmlformats.org/officeDocument/2006/relationships/hyperlink" Target="http://www.sec.gov/Archives/edgar/data/0001731348/000114036122014053/ny20003820x2_ex10-3.htm" TargetMode="External"/><Relationship Id="rId172" Type="http://schemas.openxmlformats.org/officeDocument/2006/relationships/hyperlink" Target="http://www.sec.gov/Archives/edgar/data/0001731348/000156459022023140/tlry-ex101_6.htm" TargetMode="External"/><Relationship Id="rId173" Type="http://schemas.openxmlformats.org/officeDocument/2006/relationships/hyperlink" Target="http://www.sec.gov/Archives/edgar/data/0001731348/000156459022023140/tlry-ex102_7.htm" TargetMode="External"/><Relationship Id="rId174" Type="http://schemas.openxmlformats.org/officeDocument/2006/relationships/hyperlink" Target="http://www.sec.gov/Archives/edgar/data/1731348/000114036122025850/brhc10039584_ex10-4.htm" TargetMode="External"/><Relationship Id="rId175" Type="http://schemas.openxmlformats.org/officeDocument/2006/relationships/hyperlink" Target="http://www.sec.gov/Archives/edgar/data/1731348/000114036122025850/brhc10039584_ex10-5.htm" TargetMode="External"/><Relationship Id="rId176" Type="http://schemas.openxmlformats.org/officeDocument/2006/relationships/hyperlink" Target="http://www.sec.gov/Archives/edgar/data/0001731348/000114036122025850/brhc10039584_ex10-6.htm" TargetMode="External"/><Relationship Id="rId177" Type="http://schemas.openxmlformats.org/officeDocument/2006/relationships/hyperlink" Target="http://www.sec.gov/Archives/edgar/data/0001731348/000114036122025850/brhc10039584_ex10-7.htm" TargetMode="External"/><Relationship Id="rId178" Type="http://schemas.openxmlformats.org/officeDocument/2006/relationships/hyperlink" Target="http://www.sec.gov/Archives/edgar/data/1731348/000114036123007736/ny20007663x2_ex10-1.htm" TargetMode="External"/><Relationship Id="rId179" Type="http://schemas.openxmlformats.org/officeDocument/2006/relationships/hyperlink" Target="http://www.sec.gov/Archives/edgar/data/1731348/000143774923009862/ex_498879.htm" TargetMode="External"/><Relationship Id="rId180" Type="http://schemas.openxmlformats.org/officeDocument/2006/relationships/hyperlink" Target="http://www.sec.gov/Archives/edgar/data/1731348/000143774923009862/ex_4988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2023-07-26T16:16:51Z</dcterms:created>
  <dcterms:modified xsi:type="dcterms:W3CDTF">2023-07-26T16:16:51Z</dcterms:modified>
</cp:coreProperties>
</file>