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6" w:lineRule="exact"/>
        <w:rPr>
          <w:sz w:val="24"/>
          <w:szCs w:val="24"/>
          <w:color w:val="auto"/>
        </w:rPr>
      </w:pPr>
    </w:p>
    <w:p>
      <w:pPr>
        <w:jc w:val="right"/>
        <w:ind w:right="419"/>
        <w:spacing w:after="0"/>
        <w:rPr>
          <w:sz w:val="20"/>
          <w:szCs w:val="20"/>
          <w:color w:val="auto"/>
        </w:rPr>
      </w:pPr>
      <w:r>
        <w:rPr>
          <w:rFonts w:ascii="Arial" w:cs="Arial" w:eastAsia="Arial" w:hAnsi="Arial"/>
          <w:sz w:val="18"/>
          <w:szCs w:val="18"/>
          <w:b w:val="1"/>
          <w:bCs w:val="1"/>
          <w:color w:val="auto"/>
        </w:rPr>
        <w:t>Filed pursuant to Rule 424(b)(7)</w:t>
      </w:r>
    </w:p>
    <w:p>
      <w:pPr>
        <w:spacing w:after="0" w:line="18" w:lineRule="exact"/>
        <w:rPr>
          <w:sz w:val="24"/>
          <w:szCs w:val="24"/>
          <w:color w:val="auto"/>
        </w:rPr>
      </w:pPr>
    </w:p>
    <w:p>
      <w:pPr>
        <w:jc w:val="right"/>
        <w:ind w:right="419"/>
        <w:spacing w:after="0"/>
        <w:rPr>
          <w:sz w:val="20"/>
          <w:szCs w:val="20"/>
          <w:color w:val="auto"/>
        </w:rPr>
      </w:pPr>
      <w:r>
        <w:rPr>
          <w:rFonts w:ascii="Arial" w:cs="Arial" w:eastAsia="Arial" w:hAnsi="Arial"/>
          <w:sz w:val="18"/>
          <w:szCs w:val="18"/>
          <w:b w:val="1"/>
          <w:bCs w:val="1"/>
          <w:color w:val="auto"/>
        </w:rPr>
        <w:t>Registration No. 333-267788</w:t>
      </w: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ind w:left="400"/>
        <w:spacing w:after="0"/>
        <w:rPr>
          <w:sz w:val="20"/>
          <w:szCs w:val="20"/>
          <w:color w:val="auto"/>
        </w:rPr>
      </w:pPr>
      <w:r>
        <w:rPr>
          <w:rFonts w:ascii="Arial" w:cs="Arial" w:eastAsia="Arial" w:hAnsi="Arial"/>
          <w:sz w:val="18"/>
          <w:szCs w:val="18"/>
          <w:b w:val="1"/>
          <w:bCs w:val="1"/>
          <w:color w:val="auto"/>
        </w:rPr>
        <w:t>PROSPECTUS SUPPLEMENT</w:t>
      </w:r>
    </w:p>
    <w:p>
      <w:pPr>
        <w:spacing w:after="0" w:line="18" w:lineRule="exact"/>
        <w:rPr>
          <w:sz w:val="24"/>
          <w:szCs w:val="24"/>
          <w:color w:val="auto"/>
        </w:rPr>
      </w:pPr>
    </w:p>
    <w:p>
      <w:pPr>
        <w:ind w:left="400"/>
        <w:spacing w:after="0"/>
        <w:rPr>
          <w:sz w:val="20"/>
          <w:szCs w:val="20"/>
          <w:color w:val="auto"/>
        </w:rPr>
      </w:pPr>
      <w:r>
        <w:rPr>
          <w:rFonts w:ascii="Arial" w:cs="Arial" w:eastAsia="Arial" w:hAnsi="Arial"/>
          <w:sz w:val="18"/>
          <w:szCs w:val="18"/>
          <w:b w:val="1"/>
          <w:bCs w:val="1"/>
          <w:color w:val="auto"/>
        </w:rPr>
        <w:t>(To prospectus dated October 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1574165</wp:posOffset>
            </wp:positionH>
            <wp:positionV relativeFrom="paragraph">
              <wp:posOffset>434975</wp:posOffset>
            </wp:positionV>
            <wp:extent cx="2580005" cy="6940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80005" cy="6940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ind w:left="400"/>
        <w:spacing w:after="0"/>
        <w:rPr>
          <w:sz w:val="20"/>
          <w:szCs w:val="20"/>
          <w:color w:val="auto"/>
        </w:rPr>
      </w:pPr>
      <w:r>
        <w:rPr>
          <w:rFonts w:ascii="Arial" w:cs="Arial" w:eastAsia="Arial" w:hAnsi="Arial"/>
          <w:sz w:val="18"/>
          <w:szCs w:val="18"/>
          <w:b w:val="1"/>
          <w:bCs w:val="1"/>
          <w:color w:val="auto"/>
        </w:rPr>
        <w:t> </w:t>
      </w:r>
    </w:p>
    <w:p>
      <w:pPr>
        <w:spacing w:after="0" w:line="200" w:lineRule="exact"/>
        <w:rPr>
          <w:sz w:val="24"/>
          <w:szCs w:val="24"/>
          <w:color w:val="auto"/>
        </w:rPr>
      </w:pPr>
    </w:p>
    <w:p>
      <w:pPr>
        <w:spacing w:after="0" w:line="35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38,500,000 shares of Common Stock</w:t>
      </w:r>
    </w:p>
    <w:p>
      <w:pPr>
        <w:spacing w:after="0" w:line="200" w:lineRule="exact"/>
        <w:rPr>
          <w:sz w:val="24"/>
          <w:szCs w:val="24"/>
          <w:color w:val="auto"/>
        </w:rPr>
      </w:pPr>
    </w:p>
    <w:p>
      <w:pPr>
        <w:spacing w:after="0" w:line="259" w:lineRule="exact"/>
        <w:rPr>
          <w:sz w:val="24"/>
          <w:szCs w:val="24"/>
          <w:color w:val="auto"/>
        </w:rPr>
      </w:pPr>
    </w:p>
    <w:p>
      <w:pPr>
        <w:ind w:left="400" w:right="579"/>
        <w:spacing w:after="0" w:line="238" w:lineRule="auto"/>
        <w:rPr>
          <w:sz w:val="20"/>
          <w:szCs w:val="20"/>
          <w:color w:val="auto"/>
        </w:rPr>
      </w:pPr>
      <w:r>
        <w:rPr>
          <w:rFonts w:ascii="Arial" w:cs="Arial" w:eastAsia="Arial" w:hAnsi="Arial"/>
          <w:sz w:val="18"/>
          <w:szCs w:val="18"/>
          <w:color w:val="auto"/>
        </w:rPr>
        <w:t>Up to 38,500,000 shares of our common stock are being offered by the selling stockholders named herein. The selling stockholders will borrow such shares through a lending arrangement from an affiliate of one of the underwriters in our concurrent offering of $150,000,000 aggregate principal amount of our 5.20% convertible senior notes due 2027 (the “notes”), not including the underwriters’ option to purchase up to an additional $22,500,000 principal amount of the convertible notes from us solely to cover overallotments, if any, which affiliate (the “Share Borrower”) is borrowing the shares from us. The borrowed shares are newly-issued shares issued in connection with this transaction and will be held as treasury shares by us upon the expiration or the early termination of the share lending arrangement described herein.</w:t>
      </w:r>
    </w:p>
    <w:p>
      <w:pPr>
        <w:spacing w:after="0" w:line="191" w:lineRule="exact"/>
        <w:rPr>
          <w:sz w:val="24"/>
          <w:szCs w:val="24"/>
          <w:color w:val="auto"/>
        </w:rPr>
      </w:pPr>
    </w:p>
    <w:p>
      <w:pPr>
        <w:ind w:left="400" w:right="459"/>
        <w:spacing w:after="0" w:line="238" w:lineRule="auto"/>
        <w:rPr>
          <w:sz w:val="20"/>
          <w:szCs w:val="20"/>
          <w:color w:val="auto"/>
        </w:rPr>
      </w:pPr>
      <w:r>
        <w:rPr>
          <w:rFonts w:ascii="Arial" w:cs="Arial" w:eastAsia="Arial" w:hAnsi="Arial"/>
          <w:sz w:val="18"/>
          <w:szCs w:val="18"/>
          <w:color w:val="auto"/>
        </w:rPr>
        <w:t>We expect that the selling stockholders will sell the borrowed shares and use the resulting short position to establish their initial hedge with respect to their investments in our convertible notes, which are being offered in a concurrent offering pursuant to a separate prospectus supplement and accompanying prospectus. The selling stockholders may effect such transactions by selling the borrowed shares at various prices from time to time through the Share Borrower or its affiliates. The selling stockholders will receive all of the net proceeds from the sale of the borrowed shares, and we will not receive any of those proceeds, but we will receive a one-time nominal fee of $0.0001 per share for each newly-issued share from the Share Borrower for the use of the borrowed shares.</w:t>
      </w:r>
    </w:p>
    <w:p>
      <w:pPr>
        <w:spacing w:after="0" w:line="194" w:lineRule="exact"/>
        <w:rPr>
          <w:sz w:val="24"/>
          <w:szCs w:val="24"/>
          <w:color w:val="auto"/>
        </w:rPr>
      </w:pPr>
    </w:p>
    <w:p>
      <w:pPr>
        <w:ind w:left="400" w:right="419"/>
        <w:spacing w:after="0" w:line="241" w:lineRule="auto"/>
        <w:rPr>
          <w:sz w:val="20"/>
          <w:szCs w:val="20"/>
          <w:color w:val="auto"/>
        </w:rPr>
      </w:pPr>
      <w:r>
        <w:rPr>
          <w:rFonts w:ascii="Arial" w:cs="Arial" w:eastAsia="Arial" w:hAnsi="Arial"/>
          <w:sz w:val="18"/>
          <w:szCs w:val="18"/>
          <w:color w:val="auto"/>
        </w:rPr>
        <w:t>The borrowed shares may be offered for sale in transactions that may include block sales, sales on the Nasdaq Global Select Market (the “Nasdaq”), sales in the over-the-counter market, sales pursuant to negotiated transactions or otherwise. See “Description of the Share Lending Agreement; Concurrent Offering of Convertible Notes.” The delivery of the borrowed shares being offered hereby is conditioned upon the closing of the concurrent offering of the convertible notes.</w:t>
      </w:r>
    </w:p>
    <w:p>
      <w:pPr>
        <w:spacing w:after="0" w:line="189" w:lineRule="exact"/>
        <w:rPr>
          <w:sz w:val="24"/>
          <w:szCs w:val="24"/>
          <w:color w:val="auto"/>
        </w:rPr>
      </w:pPr>
    </w:p>
    <w:p>
      <w:pPr>
        <w:ind w:left="400" w:right="619"/>
        <w:spacing w:after="0" w:line="260" w:lineRule="auto"/>
        <w:rPr>
          <w:sz w:val="20"/>
          <w:szCs w:val="20"/>
          <w:color w:val="auto"/>
        </w:rPr>
      </w:pPr>
      <w:r>
        <w:rPr>
          <w:rFonts w:ascii="Arial" w:cs="Arial" w:eastAsia="Arial" w:hAnsi="Arial"/>
          <w:sz w:val="18"/>
          <w:szCs w:val="18"/>
          <w:color w:val="auto"/>
        </w:rPr>
        <w:t>Our common stock is listed on Nasdaq under the symbol “TLRY.” On May 25, 2023, the last reported sale price of our common stock was $2.36 per share.</w:t>
      </w:r>
    </w:p>
    <w:p>
      <w:pPr>
        <w:spacing w:after="0" w:line="190" w:lineRule="exact"/>
        <w:rPr>
          <w:sz w:val="24"/>
          <w:szCs w:val="24"/>
          <w:color w:val="auto"/>
        </w:rPr>
      </w:pPr>
    </w:p>
    <w:p>
      <w:pPr>
        <w:ind w:left="400"/>
        <w:spacing w:after="0"/>
        <w:rPr>
          <w:sz w:val="20"/>
          <w:szCs w:val="20"/>
          <w:color w:val="auto"/>
        </w:rPr>
      </w:pPr>
      <w:r>
        <w:rPr>
          <w:rFonts w:ascii="Arial" w:cs="Arial" w:eastAsia="Arial" w:hAnsi="Arial"/>
          <w:sz w:val="18"/>
          <w:szCs w:val="18"/>
          <w:b w:val="1"/>
          <w:bCs w:val="1"/>
          <w:color w:val="auto"/>
        </w:rPr>
        <w:t>Investing in our common stock involves risks. See “Risk Factors” beginning on page S-</w:t>
      </w:r>
      <w:r>
        <w:rPr>
          <w:rFonts w:ascii="Arial" w:cs="Arial" w:eastAsia="Arial" w:hAnsi="Arial"/>
          <w:sz w:val="18"/>
          <w:szCs w:val="18"/>
          <w:b w:val="1"/>
          <w:bCs w:val="1"/>
          <w:u w:val="single" w:color="auto"/>
          <w:color w:val="0000EE"/>
        </w:rPr>
        <w:t>4</w:t>
      </w:r>
      <w:r>
        <w:rPr>
          <w:rFonts w:ascii="Arial" w:cs="Arial" w:eastAsia="Arial" w:hAnsi="Arial"/>
          <w:sz w:val="18"/>
          <w:szCs w:val="18"/>
          <w:b w:val="1"/>
          <w:bCs w:val="1"/>
          <w:color w:val="auto"/>
        </w:rPr>
        <w:t>.</w:t>
      </w:r>
    </w:p>
    <w:p>
      <w:pPr>
        <w:spacing w:after="0" w:line="222" w:lineRule="exact"/>
        <w:rPr>
          <w:sz w:val="24"/>
          <w:szCs w:val="24"/>
          <w:color w:val="auto"/>
        </w:rPr>
      </w:pPr>
    </w:p>
    <w:p>
      <w:pPr>
        <w:ind w:left="400" w:right="559"/>
        <w:spacing w:after="0" w:line="243" w:lineRule="auto"/>
        <w:rPr>
          <w:sz w:val="20"/>
          <w:szCs w:val="20"/>
          <w:color w:val="auto"/>
        </w:rPr>
      </w:pPr>
      <w:r>
        <w:rPr>
          <w:rFonts w:ascii="Arial" w:cs="Arial" w:eastAsia="Arial" w:hAnsi="Arial"/>
          <w:sz w:val="18"/>
          <w:szCs w:val="18"/>
          <w:color w:val="auto"/>
        </w:rPr>
        <w:t>Neither the Securities and Exchange Commission nor any state or foreign securities commission or regulatory authority has approved or disapproved of our common stock or passed upon the adequacy or accuracy of this prospectus supplement or the accompanying base prospectus. Any representation to the contrary is a criminal offense.</w:t>
      </w:r>
    </w:p>
    <w:p>
      <w:pPr>
        <w:sectPr>
          <w:pgSz w:w="11900" w:h="16838" w:orient="portrait"/>
          <w:cols w:equalWidth="0" w:num="1">
            <w:col w:w="9019"/>
          </w:cols>
          <w:pgMar w:left="1440" w:top="225"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The date of this prospectus supplement is May 25,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-636905</wp:posOffset>
            </wp:positionH>
            <wp:positionV relativeFrom="paragraph">
              <wp:posOffset>123825</wp:posOffset>
            </wp:positionV>
            <wp:extent cx="69951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25" w:right="1440" w:bottom="1440" w:gutter="0" w:footer="0" w:header="0"/>
          <w:type w:val="continuous"/>
        </w:sectPr>
      </w:pPr>
    </w:p>
    <w:bookmarkStart w:id="1" w:name="page2"/>
    <w:bookmarkEnd w:id="1"/>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2"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TABLE OF CONTENTS</w:t>
      </w:r>
    </w:p>
    <w:p>
      <w:pPr>
        <w:spacing w:after="0" w:line="347"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62865</wp:posOffset>
            </wp:positionV>
            <wp:extent cx="5349240" cy="2311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49240" cy="231140"/>
                    </a:xfrm>
                    <a:prstGeom prst="rect">
                      <a:avLst/>
                    </a:prstGeom>
                    <a:noFill/>
                  </pic:spPr>
                </pic:pic>
              </a:graphicData>
            </a:graphic>
          </wp:anchor>
        </w:drawing>
      </w:r>
    </w:p>
    <w:p>
      <w:pPr>
        <w:spacing w:after="0" w:line="175"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0000EE"/>
        </w:rPr>
        <w:t>ABOUT THIS PROSPECTUS SUPPLEMENT</w:t>
      </w:r>
    </w:p>
    <w:p>
      <w:pPr>
        <w:spacing w:after="0" w:line="104"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0000EE"/>
        </w:rPr>
        <w:t>PROSPECTUS SUPPLEMENT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39370</wp:posOffset>
            </wp:positionV>
            <wp:extent cx="5349240" cy="196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49240" cy="196850"/>
                    </a:xfrm>
                    <a:prstGeom prst="rect">
                      <a:avLst/>
                    </a:prstGeom>
                    <a:noFill/>
                  </pic:spPr>
                </pic:pic>
              </a:graphicData>
            </a:graphic>
          </wp:anchor>
        </w:drawing>
      </w:r>
    </w:p>
    <w:p>
      <w:pPr>
        <w:spacing w:after="0" w:line="84"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0000EE"/>
        </w:rPr>
        <w:t>THE OFFERING</w:t>
      </w:r>
    </w:p>
    <w:p>
      <w:pPr>
        <w:spacing w:after="0" w:line="104"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0000EE"/>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39370</wp:posOffset>
            </wp:positionV>
            <wp:extent cx="5349240" cy="1974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49240" cy="197485"/>
                    </a:xfrm>
                    <a:prstGeom prst="rect">
                      <a:avLst/>
                    </a:prstGeom>
                    <a:noFill/>
                  </pic:spPr>
                </pic:pic>
              </a:graphicData>
            </a:graphic>
          </wp:anchor>
        </w:drawing>
      </w:r>
    </w:p>
    <w:p>
      <w:pPr>
        <w:spacing w:after="0" w:line="84" w:lineRule="exact"/>
        <w:rPr>
          <w:sz w:val="20"/>
          <w:szCs w:val="20"/>
          <w:color w:val="auto"/>
        </w:rPr>
      </w:pPr>
    </w:p>
    <w:p>
      <w:pPr>
        <w:ind w:left="300" w:right="1740"/>
        <w:spacing w:after="0" w:line="360" w:lineRule="auto"/>
        <w:rPr>
          <w:sz w:val="20"/>
          <w:szCs w:val="20"/>
          <w:color w:val="auto"/>
        </w:rPr>
      </w:pPr>
      <w:r>
        <w:rPr>
          <w:rFonts w:ascii="Arial" w:cs="Arial" w:eastAsia="Arial" w:hAnsi="Arial"/>
          <w:sz w:val="18"/>
          <w:szCs w:val="18"/>
          <w:u w:val="single" w:color="auto"/>
          <w:color w:val="0000EE"/>
        </w:rPr>
        <w:t>SPECIAL NOTE REGARDING FORWARD-LOOKING STATEMENTS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-25400</wp:posOffset>
            </wp:positionV>
            <wp:extent cx="5349240" cy="325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49240" cy="325755"/>
                    </a:xfrm>
                    <a:prstGeom prst="rect">
                      <a:avLst/>
                    </a:prstGeom>
                    <a:noFill/>
                  </pic:spPr>
                </pic:pic>
              </a:graphicData>
            </a:graphic>
          </wp:anchor>
        </w:drawing>
      </w:r>
    </w:p>
    <w:p>
      <w:pPr>
        <w:ind w:left="480" w:hanging="179"/>
        <w:spacing w:after="0" w:line="260" w:lineRule="auto"/>
        <w:rPr>
          <w:sz w:val="20"/>
          <w:szCs w:val="20"/>
          <w:color w:val="auto"/>
        </w:rPr>
      </w:pPr>
      <w:r>
        <w:rPr>
          <w:rFonts w:ascii="Arial" w:cs="Arial" w:eastAsia="Arial" w:hAnsi="Arial"/>
          <w:sz w:val="18"/>
          <w:szCs w:val="18"/>
          <w:u w:val="single" w:color="auto"/>
          <w:color w:val="0000EE"/>
        </w:rPr>
        <w:t>DESCRIPTION OF THE SHARE LENDING AGREEMENT; CONCURRENT OFFERING OF CONVERTIBLE NOTES</w:t>
      </w:r>
    </w:p>
    <w:p>
      <w:pPr>
        <w:spacing w:after="0" w:line="65"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0000EE"/>
        </w:rPr>
        <w:t>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39370</wp:posOffset>
            </wp:positionV>
            <wp:extent cx="5349240" cy="1974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49240" cy="197485"/>
                    </a:xfrm>
                    <a:prstGeom prst="rect">
                      <a:avLst/>
                    </a:prstGeom>
                    <a:noFill/>
                  </pic:spPr>
                </pic:pic>
              </a:graphicData>
            </a:graphic>
          </wp:anchor>
        </w:drawing>
      </w:r>
    </w:p>
    <w:p>
      <w:pPr>
        <w:spacing w:after="0" w:line="84"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0000EE"/>
        </w:rPr>
        <w:t>MATERIAL U.S. FEDERAL INCOME TAX CONSEQUENCES</w:t>
      </w:r>
    </w:p>
    <w:p>
      <w:pPr>
        <w:spacing w:after="0" w:line="104"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0000EE"/>
        </w:rPr>
        <w:t>PLAN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39370</wp:posOffset>
            </wp:positionV>
            <wp:extent cx="5349240" cy="1968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49240" cy="196850"/>
                    </a:xfrm>
                    <a:prstGeom prst="rect">
                      <a:avLst/>
                    </a:prstGeom>
                    <a:noFill/>
                  </pic:spPr>
                </pic:pic>
              </a:graphicData>
            </a:graphic>
          </wp:anchor>
        </w:drawing>
      </w:r>
    </w:p>
    <w:p>
      <w:pPr>
        <w:spacing w:after="0" w:line="84"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0000EE"/>
        </w:rPr>
        <w:t>LEGAL MATTERS</w:t>
      </w:r>
    </w:p>
    <w:p>
      <w:pPr>
        <w:spacing w:after="0" w:line="104"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0000EE"/>
        </w:rPr>
        <w:t>EXPERTS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39370</wp:posOffset>
            </wp:positionV>
            <wp:extent cx="5349240" cy="1968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49240" cy="196850"/>
                    </a:xfrm>
                    <a:prstGeom prst="rect">
                      <a:avLst/>
                    </a:prstGeom>
                    <a:noFill/>
                  </pic:spPr>
                </pic:pic>
              </a:graphicData>
            </a:graphic>
          </wp:anchor>
        </w:drawing>
      </w:r>
    </w:p>
    <w:p>
      <w:pPr>
        <w:spacing w:after="0" w:line="84" w:lineRule="exact"/>
        <w:rPr>
          <w:sz w:val="20"/>
          <w:szCs w:val="20"/>
          <w:color w:val="auto"/>
        </w:rPr>
      </w:pPr>
    </w:p>
    <w:p>
      <w:pPr>
        <w:ind w:left="300" w:right="1900"/>
        <w:spacing w:after="0" w:line="422" w:lineRule="auto"/>
        <w:rPr>
          <w:sz w:val="20"/>
          <w:szCs w:val="20"/>
          <w:color w:val="auto"/>
        </w:rPr>
      </w:pPr>
      <w:r>
        <w:rPr>
          <w:rFonts w:ascii="Arial" w:cs="Arial" w:eastAsia="Arial" w:hAnsi="Arial"/>
          <w:sz w:val="17"/>
          <w:szCs w:val="17"/>
          <w:u w:val="single" w:color="auto"/>
          <w:color w:val="0000EE"/>
        </w:rPr>
        <w:t>WHERE YOU CAN FIND MORE INFORMATION INCORPORATION OF CERTAIN INFORMATION BY REFERENCE</w:t>
      </w:r>
    </w:p>
    <w:p>
      <w:pPr>
        <w:spacing w:after="0" w:line="194"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62865</wp:posOffset>
            </wp:positionV>
            <wp:extent cx="5349240" cy="2317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49240" cy="231775"/>
                    </a:xfrm>
                    <a:prstGeom prst="rect">
                      <a:avLst/>
                    </a:prstGeom>
                    <a:noFill/>
                  </pic:spPr>
                </pic:pic>
              </a:graphicData>
            </a:graphic>
          </wp:anchor>
        </w:drawing>
      </w:r>
    </w:p>
    <w:p>
      <w:pPr>
        <w:spacing w:after="0" w:line="175"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0000EE"/>
        </w:rPr>
        <w:t>ABOUT THIS PROSPECTUS</w:t>
      </w:r>
    </w:p>
    <w:p>
      <w:pPr>
        <w:spacing w:after="0" w:line="104"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0000EE"/>
        </w:rPr>
        <w:t>PROSPECTUS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39370</wp:posOffset>
            </wp:positionV>
            <wp:extent cx="5349240" cy="1968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49240" cy="196850"/>
                    </a:xfrm>
                    <a:prstGeom prst="rect">
                      <a:avLst/>
                    </a:prstGeom>
                    <a:noFill/>
                  </pic:spPr>
                </pic:pic>
              </a:graphicData>
            </a:graphic>
          </wp:anchor>
        </w:drawing>
      </w:r>
    </w:p>
    <w:p>
      <w:pPr>
        <w:spacing w:after="0" w:line="84"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0000EE"/>
        </w:rPr>
        <w:t>RISK FACTORS</w:t>
      </w:r>
    </w:p>
    <w:p>
      <w:pPr>
        <w:spacing w:after="0" w:line="104"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0000EE"/>
        </w:rPr>
        <w:t>SPECIAL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39370</wp:posOffset>
            </wp:positionV>
            <wp:extent cx="5349240" cy="1968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49240" cy="196850"/>
                    </a:xfrm>
                    <a:prstGeom prst="rect">
                      <a:avLst/>
                    </a:prstGeom>
                    <a:noFill/>
                  </pic:spPr>
                </pic:pic>
              </a:graphicData>
            </a:graphic>
          </wp:anchor>
        </w:drawing>
      </w:r>
    </w:p>
    <w:p>
      <w:pPr>
        <w:spacing w:after="0" w:line="84"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0000EE"/>
        </w:rPr>
        <w:t>USE OF PROCEEDS</w:t>
      </w:r>
    </w:p>
    <w:p>
      <w:pPr>
        <w:spacing w:after="0" w:line="104"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0000EE"/>
        </w:rPr>
        <w:t>DESCRIPTION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39370</wp:posOffset>
            </wp:positionV>
            <wp:extent cx="5349240" cy="1968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49240" cy="196850"/>
                    </a:xfrm>
                    <a:prstGeom prst="rect">
                      <a:avLst/>
                    </a:prstGeom>
                    <a:noFill/>
                  </pic:spPr>
                </pic:pic>
              </a:graphicData>
            </a:graphic>
          </wp:anchor>
        </w:drawing>
      </w:r>
    </w:p>
    <w:p>
      <w:pPr>
        <w:spacing w:after="0" w:line="84"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0000EE"/>
        </w:rPr>
        <w:t>DESCRIPTION OF DEBT SECURITIES</w:t>
      </w:r>
    </w:p>
    <w:p>
      <w:pPr>
        <w:spacing w:after="0" w:line="104"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0000EE"/>
        </w:rPr>
        <w:t>DESCRIPTION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39370</wp:posOffset>
            </wp:positionV>
            <wp:extent cx="5349240" cy="1968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349240" cy="196850"/>
                    </a:xfrm>
                    <a:prstGeom prst="rect">
                      <a:avLst/>
                    </a:prstGeom>
                    <a:noFill/>
                  </pic:spPr>
                </pic:pic>
              </a:graphicData>
            </a:graphic>
          </wp:anchor>
        </w:drawing>
      </w:r>
    </w:p>
    <w:p>
      <w:pPr>
        <w:spacing w:after="0" w:line="84"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0000EE"/>
        </w:rPr>
        <w:t>LEGAL OWNERSHIP OF SECURITIES</w:t>
      </w:r>
    </w:p>
    <w:p>
      <w:pPr>
        <w:spacing w:after="0" w:line="104"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0000EE"/>
        </w:rPr>
        <w:t>SELLING SECURITYHOLDERS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39370</wp:posOffset>
            </wp:positionV>
            <wp:extent cx="5349240" cy="1968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49240" cy="196850"/>
                    </a:xfrm>
                    <a:prstGeom prst="rect">
                      <a:avLst/>
                    </a:prstGeom>
                    <a:noFill/>
                  </pic:spPr>
                </pic:pic>
              </a:graphicData>
            </a:graphic>
          </wp:anchor>
        </w:drawing>
      </w:r>
    </w:p>
    <w:p>
      <w:pPr>
        <w:spacing w:after="0" w:line="84"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0000EE"/>
        </w:rPr>
        <w:t>PLAN OF DISTRIBUTION</w:t>
      </w:r>
    </w:p>
    <w:p>
      <w:pPr>
        <w:spacing w:after="0" w:line="104"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0000EE"/>
        </w:rPr>
        <w:t>LEGAL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39370</wp:posOffset>
            </wp:positionV>
            <wp:extent cx="5349240" cy="1968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49240" cy="196850"/>
                    </a:xfrm>
                    <a:prstGeom prst="rect">
                      <a:avLst/>
                    </a:prstGeom>
                    <a:noFill/>
                  </pic:spPr>
                </pic:pic>
              </a:graphicData>
            </a:graphic>
          </wp:anchor>
        </w:drawing>
      </w:r>
    </w:p>
    <w:p>
      <w:pPr>
        <w:spacing w:after="0" w:line="84"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0000EE"/>
        </w:rPr>
        <w:t>EXPERTS</w:t>
      </w:r>
    </w:p>
    <w:p>
      <w:pPr>
        <w:spacing w:after="0" w:line="104" w:lineRule="exact"/>
        <w:rPr>
          <w:sz w:val="20"/>
          <w:szCs w:val="20"/>
          <w:color w:val="auto"/>
        </w:rPr>
      </w:pPr>
    </w:p>
    <w:p>
      <w:pPr>
        <w:ind w:left="300" w:right="1900"/>
        <w:spacing w:after="0" w:line="422" w:lineRule="auto"/>
        <w:rPr>
          <w:sz w:val="20"/>
          <w:szCs w:val="20"/>
          <w:color w:val="auto"/>
        </w:rPr>
      </w:pPr>
      <w:r>
        <w:rPr>
          <w:rFonts w:ascii="Arial" w:cs="Arial" w:eastAsia="Arial" w:hAnsi="Arial"/>
          <w:sz w:val="17"/>
          <w:szCs w:val="17"/>
          <w:u w:val="single" w:color="auto"/>
          <w:color w:val="0000EE"/>
        </w:rPr>
        <w:t>WHERE YOU CAN FIND MORE INFORMATION INCORPORATION OF CERTAIN INFORMATION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-264795</wp:posOffset>
            </wp:positionV>
            <wp:extent cx="5349240" cy="1968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349240" cy="196850"/>
                    </a:xfrm>
                    <a:prstGeom prst="rect">
                      <a:avLst/>
                    </a:prstGeom>
                    <a:noFill/>
                  </pic:spPr>
                </pic:pic>
              </a:graphicData>
            </a:graphic>
          </wp:anchor>
        </w:drawing>
      </w:r>
    </w:p>
    <w:p>
      <w:pPr>
        <w:spacing w:after="0" w:line="76"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116840</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00" w:hanging="258"/>
        <w:spacing w:after="0"/>
        <w:tabs>
          <w:tab w:leader="none" w:pos="400" w:val="left"/>
        </w:tabs>
        <w:numPr>
          <w:ilvl w:val="0"/>
          <w:numId w:val="1"/>
        </w:numPr>
        <w:rPr>
          <w:rFonts w:ascii="Arial" w:cs="Arial" w:eastAsia="Arial" w:hAnsi="Arial"/>
          <w:sz w:val="3"/>
          <w:szCs w:val="3"/>
          <w:color w:val="auto"/>
        </w:rPr>
      </w:pPr>
      <w:r>
        <w:rPr>
          <w:rFonts w:ascii="Arial" w:cs="Arial" w:eastAsia="Arial" w:hAnsi="Arial"/>
          <w:sz w:val="17"/>
          <w:szCs w:val="17"/>
          <w:u w:val="single" w:color="auto"/>
          <w:color w:val="0000EE"/>
        </w:rPr>
        <w:t>S-ii</w:t>
      </w:r>
    </w:p>
    <w:p>
      <w:pPr>
        <w:spacing w:after="0" w:line="115" w:lineRule="exact"/>
        <w:rPr>
          <w:rFonts w:ascii="Arial" w:cs="Arial" w:eastAsia="Arial" w:hAnsi="Arial"/>
          <w:sz w:val="3"/>
          <w:szCs w:val="3"/>
          <w:color w:val="auto"/>
        </w:rPr>
      </w:pPr>
    </w:p>
    <w:p>
      <w:pPr>
        <w:ind w:left="380" w:hanging="238"/>
        <w:spacing w:after="0"/>
        <w:tabs>
          <w:tab w:leader="none" w:pos="380" w:val="left"/>
        </w:tabs>
        <w:numPr>
          <w:ilvl w:val="0"/>
          <w:numId w:val="1"/>
        </w:numPr>
        <w:rPr>
          <w:rFonts w:ascii="Arial" w:cs="Arial" w:eastAsia="Arial" w:hAnsi="Arial"/>
          <w:sz w:val="3"/>
          <w:szCs w:val="3"/>
          <w:color w:val="auto"/>
        </w:rPr>
      </w:pPr>
      <w:r>
        <w:rPr>
          <w:rFonts w:ascii="Arial" w:cs="Arial" w:eastAsia="Arial" w:hAnsi="Arial"/>
          <w:sz w:val="17"/>
          <w:szCs w:val="17"/>
          <w:u w:val="single" w:color="auto"/>
          <w:color w:val="0000EE"/>
        </w:rPr>
        <w:t>S-1</w:t>
      </w:r>
    </w:p>
    <w:p>
      <w:pPr>
        <w:spacing w:after="0" w:line="115" w:lineRule="exact"/>
        <w:rPr>
          <w:rFonts w:ascii="Arial" w:cs="Arial" w:eastAsia="Arial" w:hAnsi="Arial"/>
          <w:sz w:val="3"/>
          <w:szCs w:val="3"/>
          <w:color w:val="auto"/>
        </w:rPr>
      </w:pPr>
    </w:p>
    <w:p>
      <w:pPr>
        <w:ind w:left="380" w:hanging="238"/>
        <w:spacing w:after="0"/>
        <w:tabs>
          <w:tab w:leader="none" w:pos="380" w:val="left"/>
        </w:tabs>
        <w:numPr>
          <w:ilvl w:val="0"/>
          <w:numId w:val="1"/>
        </w:numPr>
        <w:rPr>
          <w:rFonts w:ascii="Arial" w:cs="Arial" w:eastAsia="Arial" w:hAnsi="Arial"/>
          <w:sz w:val="3"/>
          <w:szCs w:val="3"/>
          <w:color w:val="auto"/>
        </w:rPr>
      </w:pPr>
      <w:r>
        <w:rPr>
          <w:rFonts w:ascii="Arial" w:cs="Arial" w:eastAsia="Arial" w:hAnsi="Arial"/>
          <w:sz w:val="17"/>
          <w:szCs w:val="17"/>
          <w:u w:val="single" w:color="auto"/>
          <w:color w:val="0000EE"/>
        </w:rPr>
        <w:t>S-3</w:t>
      </w:r>
    </w:p>
    <w:p>
      <w:pPr>
        <w:spacing w:after="0" w:line="115" w:lineRule="exact"/>
        <w:rPr>
          <w:rFonts w:ascii="Arial" w:cs="Arial" w:eastAsia="Arial" w:hAnsi="Arial"/>
          <w:sz w:val="3"/>
          <w:szCs w:val="3"/>
          <w:color w:val="auto"/>
        </w:rPr>
      </w:pPr>
    </w:p>
    <w:p>
      <w:pPr>
        <w:ind w:left="380" w:hanging="238"/>
        <w:spacing w:after="0"/>
        <w:tabs>
          <w:tab w:leader="none" w:pos="380" w:val="left"/>
        </w:tabs>
        <w:numPr>
          <w:ilvl w:val="0"/>
          <w:numId w:val="1"/>
        </w:numPr>
        <w:rPr>
          <w:rFonts w:ascii="Arial" w:cs="Arial" w:eastAsia="Arial" w:hAnsi="Arial"/>
          <w:sz w:val="3"/>
          <w:szCs w:val="3"/>
          <w:color w:val="auto"/>
        </w:rPr>
      </w:pPr>
      <w:r>
        <w:rPr>
          <w:rFonts w:ascii="Arial" w:cs="Arial" w:eastAsia="Arial" w:hAnsi="Arial"/>
          <w:sz w:val="17"/>
          <w:szCs w:val="17"/>
          <w:u w:val="single" w:color="auto"/>
          <w:color w:val="0000EE"/>
        </w:rPr>
        <w:t>S-4</w:t>
      </w:r>
    </w:p>
    <w:p>
      <w:pPr>
        <w:spacing w:after="0" w:line="115" w:lineRule="exact"/>
        <w:rPr>
          <w:rFonts w:ascii="Arial" w:cs="Arial" w:eastAsia="Arial" w:hAnsi="Arial"/>
          <w:sz w:val="3"/>
          <w:szCs w:val="3"/>
          <w:color w:val="auto"/>
        </w:rPr>
      </w:pPr>
    </w:p>
    <w:p>
      <w:pPr>
        <w:ind w:left="380" w:hanging="238"/>
        <w:spacing w:after="0"/>
        <w:tabs>
          <w:tab w:leader="none" w:pos="380" w:val="left"/>
        </w:tabs>
        <w:numPr>
          <w:ilvl w:val="0"/>
          <w:numId w:val="1"/>
        </w:numPr>
        <w:rPr>
          <w:rFonts w:ascii="Arial" w:cs="Arial" w:eastAsia="Arial" w:hAnsi="Arial"/>
          <w:sz w:val="3"/>
          <w:szCs w:val="3"/>
          <w:color w:val="auto"/>
        </w:rPr>
      </w:pPr>
      <w:r>
        <w:rPr>
          <w:rFonts w:ascii="Arial" w:cs="Arial" w:eastAsia="Arial" w:hAnsi="Arial"/>
          <w:sz w:val="17"/>
          <w:szCs w:val="17"/>
          <w:u w:val="single" w:color="auto"/>
          <w:color w:val="0000EE"/>
        </w:rPr>
        <w:t>S-6</w:t>
      </w:r>
    </w:p>
    <w:p>
      <w:pPr>
        <w:spacing w:after="0" w:line="115" w:lineRule="exact"/>
        <w:rPr>
          <w:rFonts w:ascii="Arial" w:cs="Arial" w:eastAsia="Arial" w:hAnsi="Arial"/>
          <w:sz w:val="3"/>
          <w:szCs w:val="3"/>
          <w:color w:val="auto"/>
        </w:rPr>
      </w:pPr>
    </w:p>
    <w:p>
      <w:pPr>
        <w:ind w:left="380" w:hanging="238"/>
        <w:spacing w:after="0"/>
        <w:tabs>
          <w:tab w:leader="none" w:pos="380" w:val="left"/>
        </w:tabs>
        <w:numPr>
          <w:ilvl w:val="0"/>
          <w:numId w:val="1"/>
        </w:numPr>
        <w:rPr>
          <w:rFonts w:ascii="Arial" w:cs="Arial" w:eastAsia="Arial" w:hAnsi="Arial"/>
          <w:sz w:val="3"/>
          <w:szCs w:val="3"/>
          <w:color w:val="auto"/>
        </w:rPr>
      </w:pPr>
      <w:r>
        <w:rPr>
          <w:rFonts w:ascii="Arial" w:cs="Arial" w:eastAsia="Arial" w:hAnsi="Arial"/>
          <w:sz w:val="17"/>
          <w:szCs w:val="17"/>
          <w:u w:val="single" w:color="auto"/>
          <w:color w:val="0000EE"/>
        </w:rPr>
        <w:t>S-9</w:t>
      </w:r>
    </w:p>
    <w:p>
      <w:pPr>
        <w:spacing w:after="0" w:line="317" w:lineRule="exact"/>
        <w:rPr>
          <w:rFonts w:ascii="Arial" w:cs="Arial" w:eastAsia="Arial" w:hAnsi="Arial"/>
          <w:sz w:val="3"/>
          <w:szCs w:val="3"/>
          <w:color w:val="auto"/>
        </w:rPr>
      </w:pPr>
    </w:p>
    <w:p>
      <w:pPr>
        <w:ind w:left="280" w:hanging="138"/>
        <w:spacing w:after="0"/>
        <w:tabs>
          <w:tab w:leader="none" w:pos="280" w:val="left"/>
        </w:tabs>
        <w:numPr>
          <w:ilvl w:val="0"/>
          <w:numId w:val="1"/>
        </w:numPr>
        <w:rPr>
          <w:rFonts w:ascii="Arial" w:cs="Arial" w:eastAsia="Arial" w:hAnsi="Arial"/>
          <w:sz w:val="7"/>
          <w:szCs w:val="7"/>
          <w:color w:val="auto"/>
          <w:vertAlign w:val="superscript"/>
        </w:rPr>
      </w:pPr>
      <w:r>
        <w:rPr>
          <w:rFonts w:ascii="Arial" w:cs="Arial" w:eastAsia="Arial" w:hAnsi="Arial"/>
          <w:sz w:val="17"/>
          <w:szCs w:val="17"/>
          <w:u w:val="single" w:color="auto"/>
          <w:color w:val="0000EE"/>
        </w:rPr>
        <w:t>S-10</w:t>
      </w:r>
    </w:p>
    <w:p>
      <w:pPr>
        <w:spacing w:after="0" w:line="115" w:lineRule="exact"/>
        <w:rPr>
          <w:rFonts w:ascii="Arial" w:cs="Arial" w:eastAsia="Arial" w:hAnsi="Arial"/>
          <w:sz w:val="7"/>
          <w:szCs w:val="7"/>
          <w:color w:val="auto"/>
          <w:vertAlign w:val="superscript"/>
        </w:rPr>
      </w:pPr>
    </w:p>
    <w:p>
      <w:pPr>
        <w:ind w:left="280" w:hanging="138"/>
        <w:spacing w:after="0"/>
        <w:tabs>
          <w:tab w:leader="none" w:pos="280" w:val="left"/>
        </w:tabs>
        <w:numPr>
          <w:ilvl w:val="0"/>
          <w:numId w:val="1"/>
        </w:numPr>
        <w:rPr>
          <w:rFonts w:ascii="Arial" w:cs="Arial" w:eastAsia="Arial" w:hAnsi="Arial"/>
          <w:sz w:val="3"/>
          <w:szCs w:val="3"/>
          <w:color w:val="auto"/>
        </w:rPr>
      </w:pPr>
      <w:r>
        <w:rPr>
          <w:rFonts w:ascii="Arial" w:cs="Arial" w:eastAsia="Arial" w:hAnsi="Arial"/>
          <w:sz w:val="17"/>
          <w:szCs w:val="17"/>
          <w:u w:val="single" w:color="auto"/>
          <w:color w:val="0000EE"/>
        </w:rPr>
        <w:t>S-12</w:t>
      </w:r>
    </w:p>
    <w:p>
      <w:pPr>
        <w:spacing w:after="0" w:line="115" w:lineRule="exact"/>
        <w:rPr>
          <w:rFonts w:ascii="Arial" w:cs="Arial" w:eastAsia="Arial" w:hAnsi="Arial"/>
          <w:sz w:val="3"/>
          <w:szCs w:val="3"/>
          <w:color w:val="auto"/>
        </w:rPr>
      </w:pPr>
    </w:p>
    <w:p>
      <w:pPr>
        <w:ind w:left="280" w:hanging="138"/>
        <w:spacing w:after="0"/>
        <w:tabs>
          <w:tab w:leader="none" w:pos="280" w:val="left"/>
        </w:tabs>
        <w:numPr>
          <w:ilvl w:val="0"/>
          <w:numId w:val="1"/>
        </w:numPr>
        <w:rPr>
          <w:rFonts w:ascii="Arial" w:cs="Arial" w:eastAsia="Arial" w:hAnsi="Arial"/>
          <w:sz w:val="3"/>
          <w:szCs w:val="3"/>
          <w:color w:val="auto"/>
        </w:rPr>
      </w:pPr>
      <w:r>
        <w:rPr>
          <w:rFonts w:ascii="Arial" w:cs="Arial" w:eastAsia="Arial" w:hAnsi="Arial"/>
          <w:sz w:val="17"/>
          <w:szCs w:val="17"/>
          <w:u w:val="single" w:color="auto"/>
          <w:color w:val="0000EE"/>
        </w:rPr>
        <w:t>S-14</w:t>
      </w:r>
    </w:p>
    <w:p>
      <w:pPr>
        <w:spacing w:after="0" w:line="115" w:lineRule="exact"/>
        <w:rPr>
          <w:rFonts w:ascii="Arial" w:cs="Arial" w:eastAsia="Arial" w:hAnsi="Arial"/>
          <w:sz w:val="3"/>
          <w:szCs w:val="3"/>
          <w:color w:val="auto"/>
        </w:rPr>
      </w:pPr>
    </w:p>
    <w:p>
      <w:pPr>
        <w:ind w:left="280" w:hanging="138"/>
        <w:spacing w:after="0"/>
        <w:tabs>
          <w:tab w:leader="none" w:pos="280" w:val="left"/>
        </w:tabs>
        <w:numPr>
          <w:ilvl w:val="0"/>
          <w:numId w:val="1"/>
        </w:numPr>
        <w:rPr>
          <w:rFonts w:ascii="Arial" w:cs="Arial" w:eastAsia="Arial" w:hAnsi="Arial"/>
          <w:sz w:val="3"/>
          <w:szCs w:val="3"/>
          <w:color w:val="auto"/>
        </w:rPr>
      </w:pPr>
      <w:r>
        <w:rPr>
          <w:rFonts w:ascii="Arial" w:cs="Arial" w:eastAsia="Arial" w:hAnsi="Arial"/>
          <w:sz w:val="17"/>
          <w:szCs w:val="17"/>
          <w:u w:val="single" w:color="auto"/>
          <w:color w:val="0000EE"/>
        </w:rPr>
        <w:t>S-18</w:t>
      </w:r>
    </w:p>
    <w:p>
      <w:pPr>
        <w:spacing w:after="0" w:line="115" w:lineRule="exact"/>
        <w:rPr>
          <w:rFonts w:ascii="Arial" w:cs="Arial" w:eastAsia="Arial" w:hAnsi="Arial"/>
          <w:sz w:val="3"/>
          <w:szCs w:val="3"/>
          <w:color w:val="auto"/>
        </w:rPr>
      </w:pPr>
    </w:p>
    <w:p>
      <w:pPr>
        <w:ind w:left="280" w:hanging="138"/>
        <w:spacing w:after="0"/>
        <w:tabs>
          <w:tab w:leader="none" w:pos="280" w:val="left"/>
        </w:tabs>
        <w:numPr>
          <w:ilvl w:val="0"/>
          <w:numId w:val="1"/>
        </w:numPr>
        <w:rPr>
          <w:rFonts w:ascii="Arial" w:cs="Arial" w:eastAsia="Arial" w:hAnsi="Arial"/>
          <w:sz w:val="3"/>
          <w:szCs w:val="3"/>
          <w:color w:val="auto"/>
        </w:rPr>
      </w:pPr>
      <w:r>
        <w:rPr>
          <w:rFonts w:ascii="Arial" w:cs="Arial" w:eastAsia="Arial" w:hAnsi="Arial"/>
          <w:sz w:val="17"/>
          <w:szCs w:val="17"/>
          <w:u w:val="single" w:color="auto"/>
          <w:color w:val="0000EE"/>
        </w:rPr>
        <w:t>S-19</w:t>
      </w:r>
    </w:p>
    <w:p>
      <w:pPr>
        <w:spacing w:after="0" w:line="115" w:lineRule="exact"/>
        <w:rPr>
          <w:rFonts w:ascii="Arial" w:cs="Arial" w:eastAsia="Arial" w:hAnsi="Arial"/>
          <w:sz w:val="3"/>
          <w:szCs w:val="3"/>
          <w:color w:val="auto"/>
        </w:rPr>
      </w:pPr>
    </w:p>
    <w:p>
      <w:pPr>
        <w:ind w:left="280" w:hanging="138"/>
        <w:spacing w:after="0"/>
        <w:tabs>
          <w:tab w:leader="none" w:pos="280" w:val="left"/>
        </w:tabs>
        <w:numPr>
          <w:ilvl w:val="0"/>
          <w:numId w:val="1"/>
        </w:numPr>
        <w:rPr>
          <w:rFonts w:ascii="Arial" w:cs="Arial" w:eastAsia="Arial" w:hAnsi="Arial"/>
          <w:sz w:val="3"/>
          <w:szCs w:val="3"/>
          <w:color w:val="auto"/>
        </w:rPr>
      </w:pPr>
      <w:r>
        <w:rPr>
          <w:rFonts w:ascii="Arial" w:cs="Arial" w:eastAsia="Arial" w:hAnsi="Arial"/>
          <w:sz w:val="17"/>
          <w:szCs w:val="17"/>
          <w:u w:val="single" w:color="auto"/>
          <w:color w:val="0000EE"/>
        </w:rPr>
        <w:t>S-19</w:t>
      </w:r>
    </w:p>
    <w:p>
      <w:pPr>
        <w:spacing w:after="0" w:line="115" w:lineRule="exact"/>
        <w:rPr>
          <w:rFonts w:ascii="Arial" w:cs="Arial" w:eastAsia="Arial" w:hAnsi="Arial"/>
          <w:sz w:val="3"/>
          <w:szCs w:val="3"/>
          <w:color w:val="auto"/>
        </w:rPr>
      </w:pPr>
    </w:p>
    <w:p>
      <w:pPr>
        <w:ind w:left="280" w:hanging="138"/>
        <w:spacing w:after="0"/>
        <w:tabs>
          <w:tab w:leader="none" w:pos="280" w:val="left"/>
        </w:tabs>
        <w:numPr>
          <w:ilvl w:val="0"/>
          <w:numId w:val="1"/>
        </w:numPr>
        <w:rPr>
          <w:rFonts w:ascii="Arial" w:cs="Arial" w:eastAsia="Arial" w:hAnsi="Arial"/>
          <w:sz w:val="3"/>
          <w:szCs w:val="3"/>
          <w:color w:val="auto"/>
        </w:rPr>
      </w:pPr>
      <w:r>
        <w:rPr>
          <w:rFonts w:ascii="Arial" w:cs="Arial" w:eastAsia="Arial" w:hAnsi="Arial"/>
          <w:sz w:val="17"/>
          <w:szCs w:val="17"/>
          <w:u w:val="single" w:color="auto"/>
          <w:color w:val="0000EE"/>
        </w:rPr>
        <w:t>S-20</w:t>
      </w:r>
    </w:p>
    <w:p>
      <w:pPr>
        <w:spacing w:after="0" w:line="115" w:lineRule="exact"/>
        <w:rPr>
          <w:rFonts w:ascii="Arial" w:cs="Arial" w:eastAsia="Arial" w:hAnsi="Arial"/>
          <w:sz w:val="3"/>
          <w:szCs w:val="3"/>
          <w:color w:val="auto"/>
        </w:rPr>
      </w:pPr>
    </w:p>
    <w:p>
      <w:pPr>
        <w:ind w:left="280" w:hanging="138"/>
        <w:spacing w:after="0"/>
        <w:tabs>
          <w:tab w:leader="none" w:pos="280" w:val="left"/>
        </w:tabs>
        <w:numPr>
          <w:ilvl w:val="0"/>
          <w:numId w:val="1"/>
        </w:numPr>
        <w:rPr>
          <w:rFonts w:ascii="Arial" w:cs="Arial" w:eastAsia="Arial" w:hAnsi="Arial"/>
          <w:sz w:val="3"/>
          <w:szCs w:val="3"/>
          <w:color w:val="auto"/>
        </w:rPr>
      </w:pPr>
      <w:r>
        <w:rPr>
          <w:rFonts w:ascii="Arial" w:cs="Arial" w:eastAsia="Arial" w:hAnsi="Arial"/>
          <w:sz w:val="17"/>
          <w:szCs w:val="17"/>
          <w:u w:val="single" w:color="auto"/>
          <w:color w:val="0000EE"/>
        </w:rPr>
        <w:t>S-21</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20" w:type="dxa"/>
            <w:vAlign w:val="bottom"/>
          </w:tcPr>
          <w:p>
            <w:pPr>
              <w:spacing w:after="0"/>
              <w:rPr>
                <w:sz w:val="20"/>
                <w:szCs w:val="20"/>
                <w:color w:val="auto"/>
              </w:rPr>
            </w:pPr>
            <w:r>
              <w:rPr>
                <w:rFonts w:ascii="Arial" w:cs="Arial" w:eastAsia="Arial" w:hAnsi="Arial"/>
                <w:sz w:val="4"/>
                <w:szCs w:val="4"/>
                <w:color w:val="auto"/>
              </w:rPr>
              <w:t>​</w:t>
            </w:r>
          </w:p>
        </w:tc>
        <w:tc>
          <w:tcPr>
            <w:tcW w:w="340" w:type="dxa"/>
            <w:vAlign w:val="bottom"/>
          </w:tcPr>
          <w:p>
            <w:pPr>
              <w:ind w:left="120"/>
              <w:spacing w:after="0"/>
              <w:rPr>
                <w:sz w:val="20"/>
                <w:szCs w:val="20"/>
                <w:color w:val="auto"/>
              </w:rPr>
            </w:pPr>
            <w:r>
              <w:rPr>
                <w:rFonts w:ascii="Arial" w:cs="Arial" w:eastAsia="Arial" w:hAnsi="Arial"/>
                <w:sz w:val="4"/>
                <w:szCs w:val="4"/>
                <w:color w:val="auto"/>
              </w:rPr>
              <w:t>​</w:t>
            </w:r>
          </w:p>
        </w:tc>
        <w:tc>
          <w:tcPr>
            <w:tcW w:w="10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0000EE"/>
                <w:w w:val="99"/>
              </w:rPr>
              <w:t>ii</w:t>
            </w:r>
          </w:p>
        </w:tc>
      </w:tr>
      <w:tr>
        <w:trPr>
          <w:trHeight w:val="58"/>
        </w:trPr>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bottom w:val="single" w:sz="8" w:color="0000EE"/>
            </w:tcBorders>
          </w:tcPr>
          <w:p>
            <w:pPr>
              <w:spacing w:after="0"/>
              <w:rPr>
                <w:sz w:val="5"/>
                <w:szCs w:val="5"/>
                <w:color w:val="auto"/>
              </w:rPr>
            </w:pPr>
          </w:p>
        </w:tc>
      </w:tr>
      <w:tr>
        <w:trPr>
          <w:trHeight w:val="233"/>
        </w:trPr>
        <w:tc>
          <w:tcPr>
            <w:tcW w:w="120" w:type="dxa"/>
            <w:vAlign w:val="bottom"/>
          </w:tcPr>
          <w:p>
            <w:pPr>
              <w:spacing w:after="0"/>
              <w:rPr>
                <w:sz w:val="20"/>
                <w:szCs w:val="20"/>
                <w:color w:val="auto"/>
              </w:rPr>
            </w:pPr>
            <w:r>
              <w:rPr>
                <w:rFonts w:ascii="Arial" w:cs="Arial" w:eastAsia="Arial" w:hAnsi="Arial"/>
                <w:sz w:val="4"/>
                <w:szCs w:val="4"/>
                <w:color w:val="auto"/>
              </w:rPr>
              <w:t>​</w:t>
            </w:r>
          </w:p>
        </w:tc>
        <w:tc>
          <w:tcPr>
            <w:tcW w:w="340" w:type="dxa"/>
            <w:vAlign w:val="bottom"/>
          </w:tcPr>
          <w:p>
            <w:pPr>
              <w:ind w:left="120"/>
              <w:spacing w:after="0"/>
              <w:rPr>
                <w:sz w:val="20"/>
                <w:szCs w:val="20"/>
                <w:color w:val="auto"/>
              </w:rPr>
            </w:pPr>
            <w:r>
              <w:rPr>
                <w:rFonts w:ascii="Arial" w:cs="Arial" w:eastAsia="Arial" w:hAnsi="Arial"/>
                <w:sz w:val="4"/>
                <w:szCs w:val="4"/>
                <w:color w:val="auto"/>
              </w:rPr>
              <w:t>​</w:t>
            </w:r>
          </w:p>
        </w:tc>
        <w:tc>
          <w:tcPr>
            <w:tcW w:w="200" w:type="dxa"/>
            <w:vAlign w:val="bottom"/>
            <w:gridSpan w:val="3"/>
          </w:tcPr>
          <w:p>
            <w:pPr>
              <w:jc w:val="right"/>
              <w:spacing w:after="0"/>
              <w:rPr>
                <w:sz w:val="20"/>
                <w:szCs w:val="20"/>
                <w:color w:val="auto"/>
              </w:rPr>
            </w:pPr>
            <w:r>
              <w:rPr>
                <w:rFonts w:ascii="Arial" w:cs="Arial" w:eastAsia="Arial" w:hAnsi="Arial"/>
                <w:sz w:val="18"/>
                <w:szCs w:val="18"/>
                <w:color w:val="0000EE"/>
              </w:rPr>
              <w:t>1</w:t>
            </w:r>
          </w:p>
        </w:tc>
      </w:tr>
      <w:tr>
        <w:trPr>
          <w:trHeight w:val="58"/>
        </w:trPr>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Borders>
              <w:bottom w:val="single" w:sz="8" w:color="0000EE"/>
            </w:tcBorders>
            <w:gridSpan w:val="2"/>
          </w:tcPr>
          <w:p>
            <w:pPr>
              <w:spacing w:after="0"/>
              <w:rPr>
                <w:sz w:val="5"/>
                <w:szCs w:val="5"/>
                <w:color w:val="auto"/>
              </w:rPr>
            </w:pPr>
          </w:p>
        </w:tc>
      </w:tr>
      <w:tr>
        <w:trPr>
          <w:trHeight w:val="233"/>
        </w:trPr>
        <w:tc>
          <w:tcPr>
            <w:tcW w:w="120" w:type="dxa"/>
            <w:vAlign w:val="bottom"/>
          </w:tcPr>
          <w:p>
            <w:pPr>
              <w:spacing w:after="0"/>
              <w:rPr>
                <w:sz w:val="20"/>
                <w:szCs w:val="20"/>
                <w:color w:val="auto"/>
              </w:rPr>
            </w:pPr>
            <w:r>
              <w:rPr>
                <w:rFonts w:ascii="Arial" w:cs="Arial" w:eastAsia="Arial" w:hAnsi="Arial"/>
                <w:sz w:val="4"/>
                <w:szCs w:val="4"/>
                <w:color w:val="auto"/>
              </w:rPr>
              <w:t>​</w:t>
            </w:r>
          </w:p>
        </w:tc>
        <w:tc>
          <w:tcPr>
            <w:tcW w:w="340" w:type="dxa"/>
            <w:vAlign w:val="bottom"/>
          </w:tcPr>
          <w:p>
            <w:pPr>
              <w:ind w:left="120"/>
              <w:spacing w:after="0"/>
              <w:rPr>
                <w:sz w:val="20"/>
                <w:szCs w:val="20"/>
                <w:color w:val="auto"/>
              </w:rPr>
            </w:pPr>
            <w:r>
              <w:rPr>
                <w:rFonts w:ascii="Arial" w:cs="Arial" w:eastAsia="Arial" w:hAnsi="Arial"/>
                <w:sz w:val="4"/>
                <w:szCs w:val="4"/>
                <w:color w:val="auto"/>
              </w:rPr>
              <w:t>​</w:t>
            </w:r>
          </w:p>
        </w:tc>
        <w:tc>
          <w:tcPr>
            <w:tcW w:w="200" w:type="dxa"/>
            <w:vAlign w:val="bottom"/>
            <w:gridSpan w:val="3"/>
          </w:tcPr>
          <w:p>
            <w:pPr>
              <w:jc w:val="right"/>
              <w:spacing w:after="0"/>
              <w:rPr>
                <w:sz w:val="20"/>
                <w:szCs w:val="20"/>
                <w:color w:val="auto"/>
              </w:rPr>
            </w:pPr>
            <w:r>
              <w:rPr>
                <w:rFonts w:ascii="Arial" w:cs="Arial" w:eastAsia="Arial" w:hAnsi="Arial"/>
                <w:sz w:val="18"/>
                <w:szCs w:val="18"/>
                <w:color w:val="0000EE"/>
              </w:rPr>
              <w:t>4</w:t>
            </w:r>
          </w:p>
        </w:tc>
      </w:tr>
      <w:tr>
        <w:trPr>
          <w:trHeight w:val="58"/>
        </w:trPr>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Borders>
              <w:bottom w:val="single" w:sz="8" w:color="0000EE"/>
            </w:tcBorders>
            <w:gridSpan w:val="2"/>
          </w:tcPr>
          <w:p>
            <w:pPr>
              <w:spacing w:after="0"/>
              <w:rPr>
                <w:sz w:val="5"/>
                <w:szCs w:val="5"/>
                <w:color w:val="auto"/>
              </w:rPr>
            </w:pPr>
          </w:p>
        </w:tc>
      </w:tr>
      <w:tr>
        <w:trPr>
          <w:trHeight w:val="233"/>
        </w:trPr>
        <w:tc>
          <w:tcPr>
            <w:tcW w:w="120" w:type="dxa"/>
            <w:vAlign w:val="bottom"/>
          </w:tcPr>
          <w:p>
            <w:pPr>
              <w:spacing w:after="0"/>
              <w:rPr>
                <w:sz w:val="20"/>
                <w:szCs w:val="20"/>
                <w:color w:val="auto"/>
              </w:rPr>
            </w:pPr>
            <w:r>
              <w:rPr>
                <w:rFonts w:ascii="Arial" w:cs="Arial" w:eastAsia="Arial" w:hAnsi="Arial"/>
                <w:sz w:val="4"/>
                <w:szCs w:val="4"/>
                <w:color w:val="auto"/>
              </w:rPr>
              <w:t>​</w:t>
            </w:r>
          </w:p>
        </w:tc>
        <w:tc>
          <w:tcPr>
            <w:tcW w:w="340" w:type="dxa"/>
            <w:vAlign w:val="bottom"/>
          </w:tcPr>
          <w:p>
            <w:pPr>
              <w:ind w:left="120"/>
              <w:spacing w:after="0"/>
              <w:rPr>
                <w:sz w:val="20"/>
                <w:szCs w:val="20"/>
                <w:color w:val="auto"/>
              </w:rPr>
            </w:pPr>
            <w:r>
              <w:rPr>
                <w:rFonts w:ascii="Arial" w:cs="Arial" w:eastAsia="Arial" w:hAnsi="Arial"/>
                <w:sz w:val="4"/>
                <w:szCs w:val="4"/>
                <w:color w:val="auto"/>
              </w:rPr>
              <w:t>​</w:t>
            </w:r>
          </w:p>
        </w:tc>
        <w:tc>
          <w:tcPr>
            <w:tcW w:w="200" w:type="dxa"/>
            <w:vAlign w:val="bottom"/>
            <w:gridSpan w:val="3"/>
          </w:tcPr>
          <w:p>
            <w:pPr>
              <w:jc w:val="right"/>
              <w:spacing w:after="0"/>
              <w:rPr>
                <w:sz w:val="20"/>
                <w:szCs w:val="20"/>
                <w:color w:val="auto"/>
              </w:rPr>
            </w:pPr>
            <w:r>
              <w:rPr>
                <w:rFonts w:ascii="Arial" w:cs="Arial" w:eastAsia="Arial" w:hAnsi="Arial"/>
                <w:sz w:val="18"/>
                <w:szCs w:val="18"/>
                <w:color w:val="0000EE"/>
              </w:rPr>
              <w:t>5</w:t>
            </w:r>
          </w:p>
        </w:tc>
      </w:tr>
      <w:tr>
        <w:trPr>
          <w:trHeight w:val="58"/>
        </w:trPr>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Borders>
              <w:bottom w:val="single" w:sz="8" w:color="0000EE"/>
            </w:tcBorders>
            <w:gridSpan w:val="2"/>
          </w:tcPr>
          <w:p>
            <w:pPr>
              <w:spacing w:after="0"/>
              <w:rPr>
                <w:sz w:val="5"/>
                <w:szCs w:val="5"/>
                <w:color w:val="auto"/>
              </w:rPr>
            </w:pPr>
          </w:p>
        </w:tc>
      </w:tr>
      <w:tr>
        <w:trPr>
          <w:trHeight w:val="233"/>
        </w:trPr>
        <w:tc>
          <w:tcPr>
            <w:tcW w:w="120" w:type="dxa"/>
            <w:vAlign w:val="bottom"/>
          </w:tcPr>
          <w:p>
            <w:pPr>
              <w:spacing w:after="0"/>
              <w:rPr>
                <w:sz w:val="20"/>
                <w:szCs w:val="20"/>
                <w:color w:val="auto"/>
              </w:rPr>
            </w:pPr>
            <w:r>
              <w:rPr>
                <w:rFonts w:ascii="Arial" w:cs="Arial" w:eastAsia="Arial" w:hAnsi="Arial"/>
                <w:sz w:val="4"/>
                <w:szCs w:val="4"/>
                <w:color w:val="auto"/>
              </w:rPr>
              <w:t>​</w:t>
            </w:r>
          </w:p>
        </w:tc>
        <w:tc>
          <w:tcPr>
            <w:tcW w:w="340" w:type="dxa"/>
            <w:vAlign w:val="bottom"/>
          </w:tcPr>
          <w:p>
            <w:pPr>
              <w:ind w:left="120"/>
              <w:spacing w:after="0"/>
              <w:rPr>
                <w:sz w:val="20"/>
                <w:szCs w:val="20"/>
                <w:color w:val="auto"/>
              </w:rPr>
            </w:pPr>
            <w:r>
              <w:rPr>
                <w:rFonts w:ascii="Arial" w:cs="Arial" w:eastAsia="Arial" w:hAnsi="Arial"/>
                <w:sz w:val="4"/>
                <w:szCs w:val="4"/>
                <w:color w:val="auto"/>
              </w:rPr>
              <w:t>​</w:t>
            </w:r>
          </w:p>
        </w:tc>
        <w:tc>
          <w:tcPr>
            <w:tcW w:w="200" w:type="dxa"/>
            <w:vAlign w:val="bottom"/>
            <w:gridSpan w:val="3"/>
          </w:tcPr>
          <w:p>
            <w:pPr>
              <w:jc w:val="right"/>
              <w:spacing w:after="0"/>
              <w:rPr>
                <w:sz w:val="20"/>
                <w:szCs w:val="20"/>
                <w:color w:val="auto"/>
              </w:rPr>
            </w:pPr>
            <w:r>
              <w:rPr>
                <w:rFonts w:ascii="Arial" w:cs="Arial" w:eastAsia="Arial" w:hAnsi="Arial"/>
                <w:sz w:val="18"/>
                <w:szCs w:val="18"/>
                <w:color w:val="0000EE"/>
              </w:rPr>
              <w:t>8</w:t>
            </w:r>
          </w:p>
        </w:tc>
      </w:tr>
      <w:tr>
        <w:trPr>
          <w:trHeight w:val="58"/>
        </w:trPr>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Borders>
              <w:bottom w:val="single" w:sz="8" w:color="0000EE"/>
            </w:tcBorders>
            <w:gridSpan w:val="2"/>
          </w:tcPr>
          <w:p>
            <w:pPr>
              <w:spacing w:after="0"/>
              <w:rPr>
                <w:sz w:val="5"/>
                <w:szCs w:val="5"/>
                <w:color w:val="auto"/>
              </w:rPr>
            </w:pPr>
          </w:p>
        </w:tc>
      </w:tr>
      <w:tr>
        <w:trPr>
          <w:trHeight w:val="233"/>
        </w:trPr>
        <w:tc>
          <w:tcPr>
            <w:tcW w:w="120" w:type="dxa"/>
            <w:vAlign w:val="bottom"/>
          </w:tcPr>
          <w:p>
            <w:pPr>
              <w:spacing w:after="0"/>
              <w:rPr>
                <w:sz w:val="20"/>
                <w:szCs w:val="20"/>
                <w:color w:val="auto"/>
              </w:rPr>
            </w:pPr>
            <w:r>
              <w:rPr>
                <w:rFonts w:ascii="Arial" w:cs="Arial" w:eastAsia="Arial" w:hAnsi="Arial"/>
                <w:sz w:val="4"/>
                <w:szCs w:val="4"/>
                <w:color w:val="auto"/>
              </w:rPr>
              <w:t>​</w:t>
            </w:r>
          </w:p>
        </w:tc>
        <w:tc>
          <w:tcPr>
            <w:tcW w:w="340" w:type="dxa"/>
            <w:vAlign w:val="bottom"/>
          </w:tcPr>
          <w:p>
            <w:pPr>
              <w:ind w:left="120"/>
              <w:spacing w:after="0"/>
              <w:rPr>
                <w:sz w:val="20"/>
                <w:szCs w:val="20"/>
                <w:color w:val="auto"/>
              </w:rPr>
            </w:pPr>
            <w:r>
              <w:rPr>
                <w:rFonts w:ascii="Arial" w:cs="Arial" w:eastAsia="Arial" w:hAnsi="Arial"/>
                <w:sz w:val="4"/>
                <w:szCs w:val="4"/>
                <w:color w:val="auto"/>
              </w:rPr>
              <w:t>​</w:t>
            </w:r>
          </w:p>
        </w:tc>
        <w:tc>
          <w:tcPr>
            <w:tcW w:w="200" w:type="dxa"/>
            <w:vAlign w:val="bottom"/>
            <w:gridSpan w:val="3"/>
          </w:tcPr>
          <w:p>
            <w:pPr>
              <w:jc w:val="right"/>
              <w:spacing w:after="0"/>
              <w:rPr>
                <w:sz w:val="20"/>
                <w:szCs w:val="20"/>
                <w:color w:val="auto"/>
              </w:rPr>
            </w:pPr>
            <w:r>
              <w:rPr>
                <w:rFonts w:ascii="Arial" w:cs="Arial" w:eastAsia="Arial" w:hAnsi="Arial"/>
                <w:sz w:val="18"/>
                <w:szCs w:val="18"/>
                <w:color w:val="0000EE"/>
              </w:rPr>
              <w:t>9</w:t>
            </w:r>
          </w:p>
        </w:tc>
      </w:tr>
      <w:tr>
        <w:trPr>
          <w:trHeight w:val="58"/>
        </w:trPr>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Borders>
              <w:bottom w:val="single" w:sz="8" w:color="0000EE"/>
            </w:tcBorders>
            <w:gridSpan w:val="2"/>
          </w:tcPr>
          <w:p>
            <w:pPr>
              <w:spacing w:after="0"/>
              <w:rPr>
                <w:sz w:val="5"/>
                <w:szCs w:val="5"/>
                <w:color w:val="auto"/>
              </w:rPr>
            </w:pPr>
          </w:p>
        </w:tc>
      </w:tr>
      <w:tr>
        <w:trPr>
          <w:trHeight w:val="233"/>
        </w:trPr>
        <w:tc>
          <w:tcPr>
            <w:tcW w:w="120" w:type="dxa"/>
            <w:vAlign w:val="bottom"/>
          </w:tcPr>
          <w:p>
            <w:pPr>
              <w:spacing w:after="0"/>
              <w:rPr>
                <w:sz w:val="20"/>
                <w:szCs w:val="20"/>
                <w:color w:val="auto"/>
              </w:rPr>
            </w:pPr>
            <w:r>
              <w:rPr>
                <w:rFonts w:ascii="Arial" w:cs="Arial" w:eastAsia="Arial" w:hAnsi="Arial"/>
                <w:sz w:val="4"/>
                <w:szCs w:val="4"/>
                <w:color w:val="auto"/>
              </w:rPr>
              <w:t>​</w:t>
            </w:r>
          </w:p>
        </w:tc>
        <w:tc>
          <w:tcPr>
            <w:tcW w:w="340" w:type="dxa"/>
            <w:vAlign w:val="bottom"/>
          </w:tcPr>
          <w:p>
            <w:pPr>
              <w:ind w:left="120"/>
              <w:spacing w:after="0"/>
              <w:rPr>
                <w:sz w:val="20"/>
                <w:szCs w:val="20"/>
                <w:color w:val="auto"/>
              </w:rPr>
            </w:pPr>
            <w:r>
              <w:rPr>
                <w:rFonts w:ascii="Arial" w:cs="Arial" w:eastAsia="Arial" w:hAnsi="Arial"/>
                <w:sz w:val="4"/>
                <w:szCs w:val="4"/>
                <w:color w:val="auto"/>
              </w:rPr>
              <w:t>​</w:t>
            </w:r>
          </w:p>
        </w:tc>
        <w:tc>
          <w:tcPr>
            <w:tcW w:w="200" w:type="dxa"/>
            <w:vAlign w:val="bottom"/>
            <w:gridSpan w:val="3"/>
          </w:tcPr>
          <w:p>
            <w:pPr>
              <w:jc w:val="right"/>
              <w:spacing w:after="0"/>
              <w:rPr>
                <w:sz w:val="20"/>
                <w:szCs w:val="20"/>
                <w:color w:val="auto"/>
              </w:rPr>
            </w:pPr>
            <w:r>
              <w:rPr>
                <w:rFonts w:ascii="Arial" w:cs="Arial" w:eastAsia="Arial" w:hAnsi="Arial"/>
                <w:sz w:val="18"/>
                <w:szCs w:val="18"/>
                <w:color w:val="0000EE"/>
                <w:w w:val="89"/>
              </w:rPr>
              <w:t>14</w:t>
            </w:r>
          </w:p>
        </w:tc>
      </w:tr>
      <w:tr>
        <w:trPr>
          <w:trHeight w:val="58"/>
        </w:trPr>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Borders>
              <w:bottom w:val="single" w:sz="8" w:color="0000EE"/>
            </w:tcBorders>
            <w:gridSpan w:val="3"/>
          </w:tcPr>
          <w:p>
            <w:pPr>
              <w:spacing w:after="0"/>
              <w:rPr>
                <w:sz w:val="5"/>
                <w:szCs w:val="5"/>
                <w:color w:val="auto"/>
              </w:rPr>
            </w:pPr>
          </w:p>
        </w:tc>
      </w:tr>
      <w:tr>
        <w:trPr>
          <w:trHeight w:val="233"/>
        </w:trPr>
        <w:tc>
          <w:tcPr>
            <w:tcW w:w="120" w:type="dxa"/>
            <w:vAlign w:val="bottom"/>
          </w:tcPr>
          <w:p>
            <w:pPr>
              <w:spacing w:after="0"/>
              <w:rPr>
                <w:sz w:val="20"/>
                <w:szCs w:val="20"/>
                <w:color w:val="auto"/>
              </w:rPr>
            </w:pPr>
            <w:r>
              <w:rPr>
                <w:rFonts w:ascii="Arial" w:cs="Arial" w:eastAsia="Arial" w:hAnsi="Arial"/>
                <w:sz w:val="4"/>
                <w:szCs w:val="4"/>
                <w:color w:val="auto"/>
              </w:rPr>
              <w:t>​</w:t>
            </w:r>
          </w:p>
        </w:tc>
        <w:tc>
          <w:tcPr>
            <w:tcW w:w="340" w:type="dxa"/>
            <w:vAlign w:val="bottom"/>
          </w:tcPr>
          <w:p>
            <w:pPr>
              <w:ind w:left="120"/>
              <w:spacing w:after="0"/>
              <w:rPr>
                <w:sz w:val="20"/>
                <w:szCs w:val="20"/>
                <w:color w:val="auto"/>
              </w:rPr>
            </w:pPr>
            <w:r>
              <w:rPr>
                <w:rFonts w:ascii="Arial" w:cs="Arial" w:eastAsia="Arial" w:hAnsi="Arial"/>
                <w:sz w:val="4"/>
                <w:szCs w:val="4"/>
                <w:color w:val="auto"/>
              </w:rPr>
              <w:t>​</w:t>
            </w:r>
          </w:p>
        </w:tc>
        <w:tc>
          <w:tcPr>
            <w:tcW w:w="200" w:type="dxa"/>
            <w:vAlign w:val="bottom"/>
            <w:gridSpan w:val="3"/>
          </w:tcPr>
          <w:p>
            <w:pPr>
              <w:jc w:val="right"/>
              <w:spacing w:after="0"/>
              <w:rPr>
                <w:sz w:val="20"/>
                <w:szCs w:val="20"/>
                <w:color w:val="auto"/>
              </w:rPr>
            </w:pPr>
            <w:r>
              <w:rPr>
                <w:rFonts w:ascii="Arial" w:cs="Arial" w:eastAsia="Arial" w:hAnsi="Arial"/>
                <w:sz w:val="18"/>
                <w:szCs w:val="18"/>
                <w:color w:val="0000EE"/>
                <w:w w:val="89"/>
              </w:rPr>
              <w:t>20</w:t>
            </w:r>
          </w:p>
        </w:tc>
      </w:tr>
      <w:tr>
        <w:trPr>
          <w:trHeight w:val="58"/>
        </w:trPr>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Borders>
              <w:bottom w:val="single" w:sz="8" w:color="0000EE"/>
            </w:tcBorders>
            <w:gridSpan w:val="3"/>
          </w:tcPr>
          <w:p>
            <w:pPr>
              <w:spacing w:after="0"/>
              <w:rPr>
                <w:sz w:val="5"/>
                <w:szCs w:val="5"/>
                <w:color w:val="auto"/>
              </w:rPr>
            </w:pPr>
          </w:p>
        </w:tc>
      </w:tr>
      <w:tr>
        <w:trPr>
          <w:trHeight w:val="233"/>
        </w:trPr>
        <w:tc>
          <w:tcPr>
            <w:tcW w:w="120" w:type="dxa"/>
            <w:vAlign w:val="bottom"/>
          </w:tcPr>
          <w:p>
            <w:pPr>
              <w:spacing w:after="0"/>
              <w:rPr>
                <w:sz w:val="20"/>
                <w:szCs w:val="20"/>
                <w:color w:val="auto"/>
              </w:rPr>
            </w:pPr>
            <w:r>
              <w:rPr>
                <w:rFonts w:ascii="Arial" w:cs="Arial" w:eastAsia="Arial" w:hAnsi="Arial"/>
                <w:sz w:val="4"/>
                <w:szCs w:val="4"/>
                <w:color w:val="auto"/>
              </w:rPr>
              <w:t>​</w:t>
            </w:r>
          </w:p>
        </w:tc>
        <w:tc>
          <w:tcPr>
            <w:tcW w:w="340" w:type="dxa"/>
            <w:vAlign w:val="bottom"/>
          </w:tcPr>
          <w:p>
            <w:pPr>
              <w:ind w:left="120"/>
              <w:spacing w:after="0"/>
              <w:rPr>
                <w:sz w:val="20"/>
                <w:szCs w:val="20"/>
                <w:color w:val="auto"/>
              </w:rPr>
            </w:pPr>
            <w:r>
              <w:rPr>
                <w:rFonts w:ascii="Arial" w:cs="Arial" w:eastAsia="Arial" w:hAnsi="Arial"/>
                <w:sz w:val="4"/>
                <w:szCs w:val="4"/>
                <w:color w:val="auto"/>
              </w:rPr>
              <w:t>​</w:t>
            </w:r>
          </w:p>
        </w:tc>
        <w:tc>
          <w:tcPr>
            <w:tcW w:w="200" w:type="dxa"/>
            <w:vAlign w:val="bottom"/>
            <w:gridSpan w:val="3"/>
          </w:tcPr>
          <w:p>
            <w:pPr>
              <w:jc w:val="right"/>
              <w:spacing w:after="0"/>
              <w:rPr>
                <w:sz w:val="20"/>
                <w:szCs w:val="20"/>
                <w:color w:val="auto"/>
              </w:rPr>
            </w:pPr>
            <w:r>
              <w:rPr>
                <w:rFonts w:ascii="Arial" w:cs="Arial" w:eastAsia="Arial" w:hAnsi="Arial"/>
                <w:sz w:val="18"/>
                <w:szCs w:val="18"/>
                <w:color w:val="0000EE"/>
                <w:w w:val="89"/>
              </w:rPr>
              <w:t>22</w:t>
            </w:r>
          </w:p>
        </w:tc>
      </w:tr>
      <w:tr>
        <w:trPr>
          <w:trHeight w:val="58"/>
        </w:trPr>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Borders>
              <w:bottom w:val="single" w:sz="8" w:color="0000EE"/>
            </w:tcBorders>
            <w:gridSpan w:val="3"/>
          </w:tcPr>
          <w:p>
            <w:pPr>
              <w:spacing w:after="0"/>
              <w:rPr>
                <w:sz w:val="5"/>
                <w:szCs w:val="5"/>
                <w:color w:val="auto"/>
              </w:rPr>
            </w:pPr>
          </w:p>
        </w:tc>
      </w:tr>
      <w:tr>
        <w:trPr>
          <w:trHeight w:val="233"/>
        </w:trPr>
        <w:tc>
          <w:tcPr>
            <w:tcW w:w="120" w:type="dxa"/>
            <w:vAlign w:val="bottom"/>
          </w:tcPr>
          <w:p>
            <w:pPr>
              <w:spacing w:after="0"/>
              <w:rPr>
                <w:sz w:val="20"/>
                <w:szCs w:val="20"/>
                <w:color w:val="auto"/>
              </w:rPr>
            </w:pPr>
            <w:r>
              <w:rPr>
                <w:rFonts w:ascii="Arial" w:cs="Arial" w:eastAsia="Arial" w:hAnsi="Arial"/>
                <w:sz w:val="4"/>
                <w:szCs w:val="4"/>
                <w:color w:val="auto"/>
              </w:rPr>
              <w:t>​</w:t>
            </w:r>
          </w:p>
        </w:tc>
        <w:tc>
          <w:tcPr>
            <w:tcW w:w="340" w:type="dxa"/>
            <w:vAlign w:val="bottom"/>
          </w:tcPr>
          <w:p>
            <w:pPr>
              <w:ind w:left="120"/>
              <w:spacing w:after="0"/>
              <w:rPr>
                <w:sz w:val="20"/>
                <w:szCs w:val="20"/>
                <w:color w:val="auto"/>
              </w:rPr>
            </w:pPr>
            <w:r>
              <w:rPr>
                <w:rFonts w:ascii="Arial" w:cs="Arial" w:eastAsia="Arial" w:hAnsi="Arial"/>
                <w:sz w:val="4"/>
                <w:szCs w:val="4"/>
                <w:color w:val="auto"/>
              </w:rPr>
              <w:t>​</w:t>
            </w:r>
          </w:p>
        </w:tc>
        <w:tc>
          <w:tcPr>
            <w:tcW w:w="200" w:type="dxa"/>
            <w:vAlign w:val="bottom"/>
            <w:gridSpan w:val="3"/>
          </w:tcPr>
          <w:p>
            <w:pPr>
              <w:jc w:val="right"/>
              <w:spacing w:after="0"/>
              <w:rPr>
                <w:sz w:val="20"/>
                <w:szCs w:val="20"/>
                <w:color w:val="auto"/>
              </w:rPr>
            </w:pPr>
            <w:r>
              <w:rPr>
                <w:rFonts w:ascii="Arial" w:cs="Arial" w:eastAsia="Arial" w:hAnsi="Arial"/>
                <w:sz w:val="18"/>
                <w:szCs w:val="18"/>
                <w:color w:val="0000EE"/>
                <w:w w:val="89"/>
              </w:rPr>
              <w:t>24</w:t>
            </w:r>
          </w:p>
        </w:tc>
      </w:tr>
      <w:tr>
        <w:trPr>
          <w:trHeight w:val="58"/>
        </w:trPr>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Borders>
              <w:bottom w:val="single" w:sz="8" w:color="0000EE"/>
            </w:tcBorders>
            <w:gridSpan w:val="3"/>
          </w:tcPr>
          <w:p>
            <w:pPr>
              <w:spacing w:after="0"/>
              <w:rPr>
                <w:sz w:val="5"/>
                <w:szCs w:val="5"/>
                <w:color w:val="auto"/>
              </w:rPr>
            </w:pPr>
          </w:p>
        </w:tc>
      </w:tr>
      <w:tr>
        <w:trPr>
          <w:trHeight w:val="233"/>
        </w:trPr>
        <w:tc>
          <w:tcPr>
            <w:tcW w:w="120" w:type="dxa"/>
            <w:vAlign w:val="bottom"/>
          </w:tcPr>
          <w:p>
            <w:pPr>
              <w:spacing w:after="0"/>
              <w:rPr>
                <w:sz w:val="20"/>
                <w:szCs w:val="20"/>
                <w:color w:val="auto"/>
              </w:rPr>
            </w:pPr>
            <w:r>
              <w:rPr>
                <w:rFonts w:ascii="Arial" w:cs="Arial" w:eastAsia="Arial" w:hAnsi="Arial"/>
                <w:sz w:val="4"/>
                <w:szCs w:val="4"/>
                <w:color w:val="auto"/>
              </w:rPr>
              <w:t>​</w:t>
            </w:r>
          </w:p>
        </w:tc>
        <w:tc>
          <w:tcPr>
            <w:tcW w:w="340" w:type="dxa"/>
            <w:vAlign w:val="bottom"/>
          </w:tcPr>
          <w:p>
            <w:pPr>
              <w:ind w:left="120"/>
              <w:spacing w:after="0"/>
              <w:rPr>
                <w:sz w:val="20"/>
                <w:szCs w:val="20"/>
                <w:color w:val="auto"/>
              </w:rPr>
            </w:pPr>
            <w:r>
              <w:rPr>
                <w:rFonts w:ascii="Arial" w:cs="Arial" w:eastAsia="Arial" w:hAnsi="Arial"/>
                <w:sz w:val="4"/>
                <w:szCs w:val="4"/>
                <w:color w:val="auto"/>
              </w:rPr>
              <w:t>​</w:t>
            </w:r>
          </w:p>
        </w:tc>
        <w:tc>
          <w:tcPr>
            <w:tcW w:w="200" w:type="dxa"/>
            <w:vAlign w:val="bottom"/>
            <w:gridSpan w:val="3"/>
          </w:tcPr>
          <w:p>
            <w:pPr>
              <w:jc w:val="right"/>
              <w:spacing w:after="0"/>
              <w:rPr>
                <w:sz w:val="20"/>
                <w:szCs w:val="20"/>
                <w:color w:val="auto"/>
              </w:rPr>
            </w:pPr>
            <w:r>
              <w:rPr>
                <w:rFonts w:ascii="Arial" w:cs="Arial" w:eastAsia="Arial" w:hAnsi="Arial"/>
                <w:sz w:val="18"/>
                <w:szCs w:val="18"/>
                <w:color w:val="0000EE"/>
                <w:w w:val="89"/>
              </w:rPr>
              <w:t>25</w:t>
            </w:r>
          </w:p>
        </w:tc>
      </w:tr>
      <w:tr>
        <w:trPr>
          <w:trHeight w:val="58"/>
        </w:trPr>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Borders>
              <w:bottom w:val="single" w:sz="8" w:color="0000EE"/>
            </w:tcBorders>
            <w:gridSpan w:val="3"/>
          </w:tcPr>
          <w:p>
            <w:pPr>
              <w:spacing w:after="0"/>
              <w:rPr>
                <w:sz w:val="5"/>
                <w:szCs w:val="5"/>
                <w:color w:val="auto"/>
              </w:rPr>
            </w:pPr>
          </w:p>
        </w:tc>
      </w:tr>
      <w:tr>
        <w:trPr>
          <w:trHeight w:val="233"/>
        </w:trPr>
        <w:tc>
          <w:tcPr>
            <w:tcW w:w="120" w:type="dxa"/>
            <w:vAlign w:val="bottom"/>
          </w:tcPr>
          <w:p>
            <w:pPr>
              <w:spacing w:after="0"/>
              <w:rPr>
                <w:sz w:val="20"/>
                <w:szCs w:val="20"/>
                <w:color w:val="auto"/>
              </w:rPr>
            </w:pPr>
            <w:r>
              <w:rPr>
                <w:rFonts w:ascii="Arial" w:cs="Arial" w:eastAsia="Arial" w:hAnsi="Arial"/>
                <w:sz w:val="4"/>
                <w:szCs w:val="4"/>
                <w:color w:val="auto"/>
              </w:rPr>
              <w:t>​</w:t>
            </w:r>
          </w:p>
        </w:tc>
        <w:tc>
          <w:tcPr>
            <w:tcW w:w="340" w:type="dxa"/>
            <w:vAlign w:val="bottom"/>
          </w:tcPr>
          <w:p>
            <w:pPr>
              <w:ind w:left="120"/>
              <w:spacing w:after="0"/>
              <w:rPr>
                <w:sz w:val="20"/>
                <w:szCs w:val="20"/>
                <w:color w:val="auto"/>
              </w:rPr>
            </w:pPr>
            <w:r>
              <w:rPr>
                <w:rFonts w:ascii="Arial" w:cs="Arial" w:eastAsia="Arial" w:hAnsi="Arial"/>
                <w:sz w:val="4"/>
                <w:szCs w:val="4"/>
                <w:color w:val="auto"/>
              </w:rPr>
              <w:t>​</w:t>
            </w:r>
          </w:p>
        </w:tc>
        <w:tc>
          <w:tcPr>
            <w:tcW w:w="200" w:type="dxa"/>
            <w:vAlign w:val="bottom"/>
            <w:gridSpan w:val="3"/>
          </w:tcPr>
          <w:p>
            <w:pPr>
              <w:jc w:val="right"/>
              <w:spacing w:after="0"/>
              <w:rPr>
                <w:sz w:val="20"/>
                <w:szCs w:val="20"/>
                <w:color w:val="auto"/>
              </w:rPr>
            </w:pPr>
            <w:r>
              <w:rPr>
                <w:rFonts w:ascii="Arial" w:cs="Arial" w:eastAsia="Arial" w:hAnsi="Arial"/>
                <w:sz w:val="18"/>
                <w:szCs w:val="18"/>
                <w:color w:val="0000EE"/>
                <w:w w:val="89"/>
              </w:rPr>
              <w:t>26</w:t>
            </w:r>
          </w:p>
        </w:tc>
      </w:tr>
      <w:tr>
        <w:trPr>
          <w:trHeight w:val="58"/>
        </w:trPr>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Borders>
              <w:bottom w:val="single" w:sz="8" w:color="0000EE"/>
            </w:tcBorders>
            <w:gridSpan w:val="3"/>
          </w:tcPr>
          <w:p>
            <w:pPr>
              <w:spacing w:after="0"/>
              <w:rPr>
                <w:sz w:val="5"/>
                <w:szCs w:val="5"/>
                <w:color w:val="auto"/>
              </w:rPr>
            </w:pPr>
          </w:p>
        </w:tc>
      </w:tr>
      <w:tr>
        <w:trPr>
          <w:trHeight w:val="233"/>
        </w:trPr>
        <w:tc>
          <w:tcPr>
            <w:tcW w:w="120" w:type="dxa"/>
            <w:vAlign w:val="bottom"/>
          </w:tcPr>
          <w:p>
            <w:pPr>
              <w:spacing w:after="0"/>
              <w:rPr>
                <w:sz w:val="20"/>
                <w:szCs w:val="20"/>
                <w:color w:val="auto"/>
              </w:rPr>
            </w:pPr>
            <w:r>
              <w:rPr>
                <w:rFonts w:ascii="Arial" w:cs="Arial" w:eastAsia="Arial" w:hAnsi="Arial"/>
                <w:sz w:val="4"/>
                <w:szCs w:val="4"/>
                <w:color w:val="auto"/>
              </w:rPr>
              <w:t>​</w:t>
            </w:r>
          </w:p>
        </w:tc>
        <w:tc>
          <w:tcPr>
            <w:tcW w:w="340" w:type="dxa"/>
            <w:vAlign w:val="bottom"/>
          </w:tcPr>
          <w:p>
            <w:pPr>
              <w:ind w:left="120"/>
              <w:spacing w:after="0"/>
              <w:rPr>
                <w:sz w:val="20"/>
                <w:szCs w:val="20"/>
                <w:color w:val="auto"/>
              </w:rPr>
            </w:pPr>
            <w:r>
              <w:rPr>
                <w:rFonts w:ascii="Arial" w:cs="Arial" w:eastAsia="Arial" w:hAnsi="Arial"/>
                <w:sz w:val="4"/>
                <w:szCs w:val="4"/>
                <w:color w:val="auto"/>
              </w:rPr>
              <w:t>​</w:t>
            </w:r>
          </w:p>
        </w:tc>
        <w:tc>
          <w:tcPr>
            <w:tcW w:w="200" w:type="dxa"/>
            <w:vAlign w:val="bottom"/>
            <w:gridSpan w:val="3"/>
          </w:tcPr>
          <w:p>
            <w:pPr>
              <w:jc w:val="right"/>
              <w:spacing w:after="0"/>
              <w:rPr>
                <w:sz w:val="20"/>
                <w:szCs w:val="20"/>
                <w:color w:val="auto"/>
              </w:rPr>
            </w:pPr>
            <w:r>
              <w:rPr>
                <w:rFonts w:ascii="Arial" w:cs="Arial" w:eastAsia="Arial" w:hAnsi="Arial"/>
                <w:sz w:val="18"/>
                <w:szCs w:val="18"/>
                <w:color w:val="0000EE"/>
                <w:w w:val="89"/>
              </w:rPr>
              <w:t>26</w:t>
            </w:r>
          </w:p>
        </w:tc>
      </w:tr>
      <w:tr>
        <w:trPr>
          <w:trHeight w:val="58"/>
        </w:trPr>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Borders>
              <w:bottom w:val="single" w:sz="8" w:color="0000EE"/>
            </w:tcBorders>
            <w:gridSpan w:val="3"/>
          </w:tcPr>
          <w:p>
            <w:pPr>
              <w:spacing w:after="0"/>
              <w:rPr>
                <w:sz w:val="5"/>
                <w:szCs w:val="5"/>
                <w:color w:val="auto"/>
              </w:rPr>
            </w:pPr>
          </w:p>
        </w:tc>
      </w:tr>
      <w:tr>
        <w:trPr>
          <w:trHeight w:val="233"/>
        </w:trPr>
        <w:tc>
          <w:tcPr>
            <w:tcW w:w="120" w:type="dxa"/>
            <w:vAlign w:val="bottom"/>
          </w:tcPr>
          <w:p>
            <w:pPr>
              <w:spacing w:after="0"/>
              <w:rPr>
                <w:sz w:val="20"/>
                <w:szCs w:val="20"/>
                <w:color w:val="auto"/>
              </w:rPr>
            </w:pPr>
            <w:r>
              <w:rPr>
                <w:rFonts w:ascii="Arial" w:cs="Arial" w:eastAsia="Arial" w:hAnsi="Arial"/>
                <w:sz w:val="4"/>
                <w:szCs w:val="4"/>
                <w:color w:val="auto"/>
              </w:rPr>
              <w:t>​</w:t>
            </w:r>
          </w:p>
        </w:tc>
        <w:tc>
          <w:tcPr>
            <w:tcW w:w="340" w:type="dxa"/>
            <w:vAlign w:val="bottom"/>
          </w:tcPr>
          <w:p>
            <w:pPr>
              <w:ind w:left="120"/>
              <w:spacing w:after="0"/>
              <w:rPr>
                <w:sz w:val="20"/>
                <w:szCs w:val="20"/>
                <w:color w:val="auto"/>
              </w:rPr>
            </w:pPr>
            <w:r>
              <w:rPr>
                <w:rFonts w:ascii="Arial" w:cs="Arial" w:eastAsia="Arial" w:hAnsi="Arial"/>
                <w:sz w:val="4"/>
                <w:szCs w:val="4"/>
                <w:color w:val="auto"/>
              </w:rPr>
              <w:t>​</w:t>
            </w:r>
          </w:p>
        </w:tc>
        <w:tc>
          <w:tcPr>
            <w:tcW w:w="200" w:type="dxa"/>
            <w:vAlign w:val="bottom"/>
            <w:gridSpan w:val="3"/>
          </w:tcPr>
          <w:p>
            <w:pPr>
              <w:jc w:val="right"/>
              <w:spacing w:after="0"/>
              <w:rPr>
                <w:sz w:val="20"/>
                <w:szCs w:val="20"/>
                <w:color w:val="auto"/>
              </w:rPr>
            </w:pPr>
            <w:r>
              <w:rPr>
                <w:rFonts w:ascii="Arial" w:cs="Arial" w:eastAsia="Arial" w:hAnsi="Arial"/>
                <w:sz w:val="18"/>
                <w:szCs w:val="18"/>
                <w:color w:val="0000EE"/>
                <w:w w:val="89"/>
              </w:rPr>
              <w:t>27</w:t>
            </w:r>
          </w:p>
        </w:tc>
      </w:tr>
      <w:tr>
        <w:trPr>
          <w:trHeight w:val="58"/>
        </w:trPr>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Borders>
              <w:bottom w:val="single" w:sz="8" w:color="0000EE"/>
            </w:tcBorders>
            <w:gridSpan w:val="3"/>
          </w:tcPr>
          <w:p>
            <w:pPr>
              <w:spacing w:after="0"/>
              <w:rPr>
                <w:sz w:val="5"/>
                <w:szCs w:val="5"/>
                <w:color w:val="auto"/>
              </w:rPr>
            </w:pPr>
          </w:p>
        </w:tc>
      </w:tr>
      <w:tr>
        <w:trPr>
          <w:trHeight w:val="233"/>
        </w:trPr>
        <w:tc>
          <w:tcPr>
            <w:tcW w:w="120" w:type="dxa"/>
            <w:vAlign w:val="bottom"/>
          </w:tcPr>
          <w:p>
            <w:pPr>
              <w:spacing w:after="0"/>
              <w:rPr>
                <w:sz w:val="20"/>
                <w:szCs w:val="20"/>
                <w:color w:val="auto"/>
              </w:rPr>
            </w:pPr>
            <w:r>
              <w:rPr>
                <w:rFonts w:ascii="Arial" w:cs="Arial" w:eastAsia="Arial" w:hAnsi="Arial"/>
                <w:sz w:val="4"/>
                <w:szCs w:val="4"/>
                <w:color w:val="auto"/>
              </w:rPr>
              <w:t>​</w:t>
            </w:r>
          </w:p>
        </w:tc>
        <w:tc>
          <w:tcPr>
            <w:tcW w:w="340" w:type="dxa"/>
            <w:vAlign w:val="bottom"/>
          </w:tcPr>
          <w:p>
            <w:pPr>
              <w:ind w:left="120"/>
              <w:spacing w:after="0"/>
              <w:rPr>
                <w:sz w:val="20"/>
                <w:szCs w:val="20"/>
                <w:color w:val="auto"/>
              </w:rPr>
            </w:pPr>
            <w:r>
              <w:rPr>
                <w:rFonts w:ascii="Arial" w:cs="Arial" w:eastAsia="Arial" w:hAnsi="Arial"/>
                <w:sz w:val="4"/>
                <w:szCs w:val="4"/>
                <w:color w:val="auto"/>
              </w:rPr>
              <w:t>​</w:t>
            </w:r>
          </w:p>
        </w:tc>
        <w:tc>
          <w:tcPr>
            <w:tcW w:w="200" w:type="dxa"/>
            <w:vAlign w:val="bottom"/>
            <w:gridSpan w:val="3"/>
          </w:tcPr>
          <w:p>
            <w:pPr>
              <w:jc w:val="right"/>
              <w:spacing w:after="0"/>
              <w:rPr>
                <w:sz w:val="20"/>
                <w:szCs w:val="20"/>
                <w:color w:val="auto"/>
              </w:rPr>
            </w:pPr>
            <w:r>
              <w:rPr>
                <w:rFonts w:ascii="Arial" w:cs="Arial" w:eastAsia="Arial" w:hAnsi="Arial"/>
                <w:sz w:val="18"/>
                <w:szCs w:val="18"/>
                <w:color w:val="0000EE"/>
                <w:w w:val="89"/>
              </w:rPr>
              <w:t>28</w:t>
            </w:r>
          </w:p>
        </w:tc>
      </w:tr>
      <w:tr>
        <w:trPr>
          <w:trHeight w:val="58"/>
        </w:trPr>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Borders>
              <w:bottom w:val="single" w:sz="8" w:color="0000EE"/>
            </w:tcBorders>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80" w:type="dxa"/>
            <w:vAlign w:val="bottom"/>
            <w:tcBorders>
              <w:bottom w:val="single" w:sz="8" w:color="0000EE"/>
            </w:tcBorders>
          </w:tcPr>
          <w:p>
            <w:pPr>
              <w:spacing w:after="0"/>
              <w:rPr>
                <w:sz w:val="5"/>
                <w:szCs w:val="5"/>
                <w:color w:val="auto"/>
              </w:rPr>
            </w:pPr>
          </w:p>
        </w:tc>
      </w:tr>
    </w:tbl>
    <w:p>
      <w:pPr>
        <w:sectPr>
          <w:pgSz w:w="11900" w:h="16838" w:orient="portrait"/>
          <w:cols w:equalWidth="0" w:num="2">
            <w:col w:w="7560" w:space="500"/>
            <w:col w:w="959"/>
          </w:cols>
          <w:pgMar w:left="1440" w:top="265" w:right="1440" w:bottom="1440" w:gutter="0" w:footer="0" w:header="0"/>
        </w:sectPr>
      </w:pPr>
    </w:p>
    <w:bookmarkStart w:id="2" w:name="page3"/>
    <w:bookmarkEnd w:id="2"/>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114" w:lineRule="exact"/>
        <w:rPr>
          <w:sz w:val="20"/>
          <w:szCs w:val="20"/>
          <w:color w:val="auto"/>
        </w:rPr>
      </w:pPr>
    </w:p>
    <w:p>
      <w:pPr>
        <w:ind w:left="300" w:right="299"/>
        <w:spacing w:after="0" w:line="237" w:lineRule="auto"/>
        <w:rPr>
          <w:sz w:val="20"/>
          <w:szCs w:val="20"/>
          <w:color w:val="auto"/>
        </w:rPr>
      </w:pPr>
      <w:r>
        <w:rPr>
          <w:rFonts w:ascii="Arial" w:cs="Arial" w:eastAsia="Arial" w:hAnsi="Arial"/>
          <w:sz w:val="18"/>
          <w:szCs w:val="18"/>
          <w:color w:val="auto"/>
        </w:rPr>
        <w:t>This document is in two parts. The first part is this prospectus supplement, which describes the specific terms of this common stock offering and also adds to and updates information contained in the accompanying base prospectus and the documents incorporated by reference herein. The second part, the accompanying base prospectus, provides more general information. Generally, when we refer to this prospectus, we are referring to both parts of this document combined. To the extent there is a conflict between the information contained in this prospectus supplement and the information contained in the accompanying base prospectus or any document incorporated by reference therein filed prior to the date of this prospectus supplement, you should rely on the information in this prospectus supplement; provided that if any statement in one of these documents is inconsistent with a statement in another document having a more recent date—for example, a document incorporated by reference in the accompanying base prospectus—the statement in the document having the more recent date modifies or supersedes the earlier statement.</w:t>
      </w:r>
    </w:p>
    <w:p>
      <w:pPr>
        <w:spacing w:after="0" w:line="85" w:lineRule="exact"/>
        <w:rPr>
          <w:sz w:val="20"/>
          <w:szCs w:val="20"/>
          <w:color w:val="auto"/>
        </w:rPr>
      </w:pPr>
    </w:p>
    <w:p>
      <w:pPr>
        <w:ind w:left="300" w:right="359"/>
        <w:spacing w:after="0" w:line="239" w:lineRule="auto"/>
        <w:rPr>
          <w:sz w:val="20"/>
          <w:szCs w:val="20"/>
          <w:color w:val="auto"/>
        </w:rPr>
      </w:pPr>
      <w:r>
        <w:rPr>
          <w:rFonts w:ascii="Arial" w:cs="Arial" w:eastAsia="Arial" w:hAnsi="Arial"/>
          <w:sz w:val="18"/>
          <w:szCs w:val="18"/>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83" w:lineRule="exact"/>
        <w:rPr>
          <w:sz w:val="20"/>
          <w:szCs w:val="20"/>
          <w:color w:val="auto"/>
        </w:rPr>
      </w:pPr>
    </w:p>
    <w:p>
      <w:pPr>
        <w:ind w:left="300" w:right="299"/>
        <w:spacing w:after="0" w:line="236" w:lineRule="auto"/>
        <w:rPr>
          <w:sz w:val="20"/>
          <w:szCs w:val="20"/>
          <w:color w:val="auto"/>
        </w:rPr>
      </w:pPr>
      <w:r>
        <w:rPr>
          <w:rFonts w:ascii="Arial" w:cs="Arial" w:eastAsia="Arial" w:hAnsi="Arial"/>
          <w:sz w:val="18"/>
          <w:szCs w:val="18"/>
          <w:color w:val="auto"/>
        </w:rPr>
        <w:t>Neither we, the Share Borrower, nor the selling stockholders have authorized anyone to provide any information other than that contained or incorporated by reference into this prospectus supplement, the accompanying base prospectus or in any free writing prospectus prepared by or on behalf of us or to which we have referred you. We, the Share Borrower, and the selling stockholders take no responsibility for, and can provide no assurance as to the reliability of, any other information that others may give you. The information contained in this prospectus supplement or the accompanying base prospectus, or incorporated by reference herein or therein, is accurate only as of the respective dates thereof, regardless of the time of delivery of this prospectus supplement and the accompanying base prospectus or of any sale of our common stock. It is important for you to read and consider all information contained in this prospectus supplement and the accompanying base prospectus, including the documents incorporated by reference herein and therein, in making your investment decision. You should also read and consider the information in the documents to which we have referred you in the sections entitled “Where You Can Find More Information” and “Incorporation by Reference” in this prospectus supplement and in the sections entitled “Where You Can Find More Information” and “Incorporation of Certain Information by Reference” in the accompanying base prospectus.</w:t>
      </w:r>
    </w:p>
    <w:p>
      <w:pPr>
        <w:spacing w:after="0" w:line="92" w:lineRule="exact"/>
        <w:rPr>
          <w:sz w:val="20"/>
          <w:szCs w:val="20"/>
          <w:color w:val="auto"/>
        </w:rPr>
      </w:pPr>
    </w:p>
    <w:p>
      <w:pPr>
        <w:ind w:left="300" w:right="359"/>
        <w:spacing w:after="0" w:line="237" w:lineRule="auto"/>
        <w:rPr>
          <w:sz w:val="20"/>
          <w:szCs w:val="20"/>
          <w:color w:val="auto"/>
        </w:rPr>
      </w:pPr>
      <w:r>
        <w:rPr>
          <w:rFonts w:ascii="Arial" w:cs="Arial" w:eastAsia="Arial" w:hAnsi="Arial"/>
          <w:sz w:val="18"/>
          <w:szCs w:val="18"/>
          <w:color w:val="auto"/>
        </w:rPr>
        <w:t>The distribution of this prospectus supplement and the accompanying base prospectus and sales of the common stock by the selling stockholders in certain jurisdictions may be restricted by law. Persons outside the United States who come into possession of this prospectus supplement and the accompanying base prospectus must inform themselves about, and observe any restrictions relating to, the sales of the common stock hereunder and the distribution of this prospectus supplement and the accompanying base prospectus outside the United States. This prospectus supplement and the accompanying base prospectus do not constitute, and may not be used in connection with, an offer to sell, or a solicitation of an offer to buy, any securities offered by this prospectus supplement and the accompanying base prospectus by any person in any jurisdiction in which it is unlawful for such person to make such an offer or solicitation.</w:t>
      </w:r>
    </w:p>
    <w:p>
      <w:pPr>
        <w:spacing w:after="0" w:line="89" w:lineRule="exact"/>
        <w:rPr>
          <w:sz w:val="20"/>
          <w:szCs w:val="20"/>
          <w:color w:val="auto"/>
        </w:rPr>
      </w:pPr>
    </w:p>
    <w:p>
      <w:pPr>
        <w:ind w:left="300" w:right="299"/>
        <w:spacing w:after="0" w:line="251" w:lineRule="auto"/>
        <w:rPr>
          <w:sz w:val="20"/>
          <w:szCs w:val="20"/>
          <w:color w:val="auto"/>
        </w:rPr>
      </w:pPr>
      <w:r>
        <w:rPr>
          <w:rFonts w:ascii="Arial" w:cs="Arial" w:eastAsia="Arial" w:hAnsi="Arial"/>
          <w:sz w:val="17"/>
          <w:szCs w:val="17"/>
          <w:color w:val="auto"/>
        </w:rPr>
        <w:t>Unless the context requires otherwise or otherwise provided, references in this prospectus supplement to “Tilray,” the “company,” “we,” “us” and “our” refer to Tilray Brands, Inc. and its subsidiaries. Tilray, our logo and our other registered or common law trademarks, trade names or service marks appearing in this prospectus supplement are owned by us. Solely for convenience, trademarks and trade names referred to in this prospectus supplement, including logos, artwork and other visual displays, may appear without the</w:t>
      </w:r>
    </w:p>
    <w:p>
      <w:pPr>
        <w:spacing w:after="0" w:line="2" w:lineRule="exact"/>
        <w:rPr>
          <w:sz w:val="20"/>
          <w:szCs w:val="20"/>
          <w:color w:val="auto"/>
        </w:rPr>
      </w:pPr>
    </w:p>
    <w:p>
      <w:pPr>
        <w:ind w:left="300" w:right="319" w:hanging="8"/>
        <w:spacing w:after="0" w:line="238" w:lineRule="auto"/>
        <w:tabs>
          <w:tab w:leader="none" w:pos="483" w:val="left"/>
        </w:tabs>
        <w:numPr>
          <w:ilvl w:val="0"/>
          <w:numId w:val="2"/>
        </w:numPr>
        <w:rPr>
          <w:rFonts w:ascii="Arial" w:cs="Arial" w:eastAsia="Arial" w:hAnsi="Arial"/>
          <w:sz w:val="18"/>
          <w:szCs w:val="18"/>
          <w:color w:val="auto"/>
        </w:rPr>
      </w:pPr>
      <w:r>
        <w:rPr>
          <w:rFonts w:ascii="Arial" w:cs="Arial" w:eastAsia="Arial" w:hAnsi="Arial"/>
          <w:sz w:val="18"/>
          <w:szCs w:val="18"/>
          <w:color w:val="auto"/>
        </w:rPr>
        <w:t>or ™ symbols, but such references are not intended to indicate in any way that we will not assert, to the fullest extent under applicable law, our rights of the applicable licensor to these trademarks and trade names. Unless otherwise stated in this prospectus supplement, we do not intend our use or display of other companies’ trade names or trademarks to imply a relationship with, or endorsement or sponsorship of us by, any other companies.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125095</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 w:name="page4"/>
    <w:bookmarkEnd w:id="3"/>
    <w:p>
      <w:pPr>
        <w:ind w:left="8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44515" cy="76936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44515" cy="769366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PROSPECTUS SUPPLEMENT SUMMARY</w:t>
      </w:r>
    </w:p>
    <w:p>
      <w:pPr>
        <w:spacing w:after="0" w:line="108" w:lineRule="exact"/>
        <w:rPr>
          <w:sz w:val="20"/>
          <w:szCs w:val="20"/>
          <w:color w:val="auto"/>
        </w:rPr>
      </w:pPr>
    </w:p>
    <w:p>
      <w:pPr>
        <w:ind w:left="300" w:right="299"/>
        <w:spacing w:after="0" w:line="236" w:lineRule="auto"/>
        <w:rPr>
          <w:sz w:val="20"/>
          <w:szCs w:val="20"/>
          <w:color w:val="auto"/>
        </w:rPr>
      </w:pPr>
      <w:r>
        <w:rPr>
          <w:rFonts w:ascii="Arial" w:cs="Arial" w:eastAsia="Arial" w:hAnsi="Arial"/>
          <w:sz w:val="18"/>
          <w:szCs w:val="18"/>
          <w:i w:val="1"/>
          <w:iCs w:val="1"/>
          <w:color w:val="auto"/>
        </w:rPr>
        <w:t>This summary highlights selected information contained elsewhere in this prospectus supplement and the accompanying base prospectus and in the documents we incorporate by reference herein and therein. This summary does not contain all of the information you should consider before investing in our common stock. You should read this summary together with the more detailed information included elsewhere in or incorporated by reference into this prospectus supplement and the accompanying base prospectus, including our consolidated financial statements and the related notes contained in our Annual Report on Form 10-K for the fiscal year ended May 31, 2022 (as amended, “2022 Form 10-K”) and in our Quarterly Reports on Form 10-Q for the quarters ended August 31, 2022 (“Q1 2023 Form 10-Q”), November 30, 2022 (“Q2 2023 Form 10-Q”) and February 28, 2023 (“Q3 2023 Form 10-Q”, together with the Q1 2023 Form 10-Q and Q2 2023 Form 10-Q, the “2023 Form 10-Qs”). You should carefully consider, among other things, the matters discussed in “Risk Factors” in this prospectus supplement, and in “Risk Factors” and “Management’s Discussion and Analysis of Financial Condition and Results of Operations” in our 2022 Form 10-K, our 2023 Form 10-Qs and the documents that we subsequently file with the Securities and Exchange Commission (“SEC”), as well as the other information included or incorporated by reference in this prospectus supplement and the accompanying base prospectus, before you make an investment decision. Some of the statements in this prospectus supplement and the accompanying base prospectus and documents incorporated herein and therein constitute forward-looking statements. See “Cautionary Note Regarding Forward-Looking Statements.”</w:t>
      </w:r>
    </w:p>
    <w:p>
      <w:pPr>
        <w:spacing w:after="0" w:line="30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Company</w:t>
      </w:r>
    </w:p>
    <w:p>
      <w:pPr>
        <w:spacing w:after="0" w:line="114" w:lineRule="exact"/>
        <w:rPr>
          <w:sz w:val="20"/>
          <w:szCs w:val="20"/>
          <w:color w:val="auto"/>
        </w:rPr>
      </w:pPr>
    </w:p>
    <w:p>
      <w:pPr>
        <w:ind w:left="300" w:right="319"/>
        <w:spacing w:after="0" w:line="239" w:lineRule="auto"/>
        <w:rPr>
          <w:sz w:val="20"/>
          <w:szCs w:val="20"/>
          <w:color w:val="auto"/>
        </w:rPr>
      </w:pPr>
      <w:r>
        <w:rPr>
          <w:rFonts w:ascii="Arial" w:cs="Arial" w:eastAsia="Arial" w:hAnsi="Arial"/>
          <w:sz w:val="18"/>
          <w:szCs w:val="18"/>
          <w:color w:val="auto"/>
        </w:rPr>
        <w:t>We are a leading global cannabis-lifestyle and consumer packaged goods company headquartered in Leamington and New York, with operations in Canada, the United States, Europe, Australia and Latin America that is changing people’s lives for the better—one person at a time—by inspiring and empowering a worldwide community to live their very best life enhanced by moments of connection and wellbeing. Tilray’s mission is to be the most responsible, trusted and market leading cannabis consumer products company in the world with a portfolio of innovative, high-quality and beloved brands that address the needs of the consumers, customers and patients we serve.</w:t>
      </w:r>
    </w:p>
    <w:p>
      <w:pPr>
        <w:spacing w:after="0" w:line="83" w:lineRule="exact"/>
        <w:rPr>
          <w:sz w:val="20"/>
          <w:szCs w:val="20"/>
          <w:color w:val="auto"/>
        </w:rPr>
      </w:pPr>
    </w:p>
    <w:p>
      <w:pPr>
        <w:ind w:left="300" w:right="379"/>
        <w:spacing w:after="0" w:line="239" w:lineRule="auto"/>
        <w:rPr>
          <w:sz w:val="20"/>
          <w:szCs w:val="20"/>
          <w:color w:val="auto"/>
        </w:rPr>
      </w:pPr>
      <w:r>
        <w:rPr>
          <w:rFonts w:ascii="Arial" w:cs="Arial" w:eastAsia="Arial" w:hAnsi="Arial"/>
          <w:sz w:val="18"/>
          <w:szCs w:val="18"/>
          <w:color w:val="auto"/>
        </w:rPr>
        <w:t>Our overall strategy is to leverage our scale, expertise and capabilities to drive market share in Canada and internationally, achieve industry-leading, profitable growth and build sustainable, long-term shareholder value. In order to ensure the long-term sustainable growth of our Company, we continue to focus on developing strong capabilities in consumer insights, drive category management leadership and assess growth opportunities with the introduction of new products. In addition, we are focused on managing our cost of goods and expenses in order to maintain our strong financial position.</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14" w:lineRule="exact"/>
        <w:rPr>
          <w:sz w:val="20"/>
          <w:szCs w:val="20"/>
          <w:color w:val="auto"/>
        </w:rPr>
      </w:pPr>
    </w:p>
    <w:p>
      <w:pPr>
        <w:ind w:left="300" w:right="499"/>
        <w:spacing w:after="0" w:line="239" w:lineRule="auto"/>
        <w:rPr>
          <w:sz w:val="20"/>
          <w:szCs w:val="20"/>
          <w:color w:val="auto"/>
        </w:rPr>
      </w:pPr>
      <w:r>
        <w:rPr>
          <w:rFonts w:ascii="Arial" w:cs="Arial" w:eastAsia="Arial" w:hAnsi="Arial"/>
          <w:sz w:val="18"/>
          <w:szCs w:val="18"/>
          <w:color w:val="auto"/>
        </w:rPr>
        <w:t>Tilray Brands, Inc. was incorporated in Delaware in January 2018. Prior to January 2018, Tilray Brands, Inc. operated its business under Decatur Holdings, BV, a Dutch private limited liability company (“Decatur”), which was formed in March 2016. Decatur was incorporated under the laws of the Netherlands on March 8, 2016 as a wholly-owned subsidiary of Privateer Holdings, Inc. (“Privateer Holdings”) to hold a 100% ownership interest in Tilray Brands, Inc.’s direct and indirect subsidiaries through which Tilray Brands, Inc. operated its business. Decatur was dissolved on December 27, 2018.</w:t>
      </w:r>
    </w:p>
    <w:p>
      <w:pPr>
        <w:spacing w:after="0" w:line="86" w:lineRule="exact"/>
        <w:rPr>
          <w:sz w:val="20"/>
          <w:szCs w:val="20"/>
          <w:color w:val="auto"/>
        </w:rPr>
      </w:pPr>
    </w:p>
    <w:p>
      <w:pPr>
        <w:ind w:left="300" w:right="739"/>
        <w:spacing w:after="0" w:line="260" w:lineRule="auto"/>
        <w:rPr>
          <w:sz w:val="20"/>
          <w:szCs w:val="20"/>
          <w:color w:val="auto"/>
        </w:rPr>
      </w:pPr>
      <w:r>
        <w:rPr>
          <w:rFonts w:ascii="Arial" w:cs="Arial" w:eastAsia="Arial" w:hAnsi="Arial"/>
          <w:sz w:val="18"/>
          <w:szCs w:val="18"/>
          <w:color w:val="auto"/>
        </w:rPr>
        <w:t>On December 12, 2019, Privateer Holdings merged with and into a wholly owned subsidiary of Tilray pursuant to the agreement and plan of merger and reorganization.</w:t>
      </w:r>
    </w:p>
    <w:p>
      <w:pPr>
        <w:spacing w:after="0" w:line="65" w:lineRule="exact"/>
        <w:rPr>
          <w:sz w:val="20"/>
          <w:szCs w:val="20"/>
          <w:color w:val="auto"/>
        </w:rPr>
      </w:pPr>
    </w:p>
    <w:p>
      <w:pPr>
        <w:ind w:left="300" w:right="439"/>
        <w:spacing w:after="0" w:line="243" w:lineRule="auto"/>
        <w:rPr>
          <w:sz w:val="20"/>
          <w:szCs w:val="20"/>
          <w:color w:val="auto"/>
        </w:rPr>
      </w:pPr>
      <w:r>
        <w:rPr>
          <w:rFonts w:ascii="Arial" w:cs="Arial" w:eastAsia="Arial" w:hAnsi="Arial"/>
          <w:sz w:val="18"/>
          <w:szCs w:val="18"/>
          <w:color w:val="auto"/>
        </w:rPr>
        <w:t>Pursuant to an arrangement agreement, dated as of December 15, 2020, as amended on February 19, 2021, between Tilray and Aphria Inc. (“Aphria”), Tilray implemented an arrangement (the “Arrangement”) under the Business Corporations Act (Ontario) in accordance with a plan of arrangement. The Arrangement was completed on April 30, 2021.</w:t>
      </w:r>
    </w:p>
    <w:p>
      <w:pPr>
        <w:spacing w:after="0" w:line="80" w:lineRule="exact"/>
        <w:rPr>
          <w:sz w:val="20"/>
          <w:szCs w:val="20"/>
          <w:color w:val="auto"/>
        </w:rPr>
      </w:pPr>
    </w:p>
    <w:p>
      <w:pPr>
        <w:ind w:left="300" w:right="379"/>
        <w:spacing w:after="0" w:line="243" w:lineRule="auto"/>
        <w:rPr>
          <w:sz w:val="20"/>
          <w:szCs w:val="20"/>
          <w:color w:val="auto"/>
        </w:rPr>
      </w:pPr>
      <w:r>
        <w:rPr>
          <w:rFonts w:ascii="Arial" w:cs="Arial" w:eastAsia="Arial" w:hAnsi="Arial"/>
          <w:sz w:val="18"/>
          <w:szCs w:val="18"/>
          <w:color w:val="auto"/>
        </w:rPr>
        <w:t>On January 10, 2022, Tilray, Inc. changed its corporate name to Tilray Brands, Inc., pursuant to a second certificate of amendment of the amended and restated certificate of incorporation filed with the Delaware Secretary of State (the “Name Change”), and amended and restated its Bylaws on that same date to reflect the Name Change.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125095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 w:name="page5"/>
    <w:bookmarkEnd w:id="4"/>
    <w:p>
      <w:pPr>
        <w:ind w:left="8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44515" cy="8870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44515" cy="88709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300" w:right="359"/>
        <w:spacing w:after="0" w:line="262" w:lineRule="auto"/>
        <w:rPr>
          <w:sz w:val="20"/>
          <w:szCs w:val="20"/>
          <w:color w:val="auto"/>
        </w:rPr>
      </w:pPr>
      <w:r>
        <w:rPr>
          <w:rFonts w:ascii="Arial" w:cs="Arial" w:eastAsia="Arial" w:hAnsi="Arial"/>
          <w:sz w:val="17"/>
          <w:szCs w:val="17"/>
          <w:color w:val="auto"/>
        </w:rPr>
        <w:t>Tilray’s principal executive offices are located at 265 Talbot Street West, Leamington, Ontario, Canada and its telephone number is (844) 845-7291. Its corporate website address is www.tilray.com. Information contained on or accessible through such website is not a part of this prospectus supplement, and the inclusion of the website address in this prospectus supplement is an inactive textual reference only.</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125095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 w:name="page6"/>
    <w:bookmarkEnd w:id="5"/>
    <w:p>
      <w:pPr>
        <w:ind w:left="8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44515" cy="75736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44515" cy="75736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Issuer</w:t>
      </w:r>
    </w:p>
    <w:p>
      <w:pPr>
        <w:spacing w:after="0" w:line="117" w:lineRule="exact"/>
        <w:rPr>
          <w:sz w:val="20"/>
          <w:szCs w:val="20"/>
          <w:color w:val="auto"/>
        </w:rPr>
      </w:pPr>
    </w:p>
    <w:p>
      <w:pPr>
        <w:ind w:left="480" w:right="360" w:hanging="179"/>
        <w:spacing w:after="0" w:line="260" w:lineRule="auto"/>
        <w:rPr>
          <w:sz w:val="20"/>
          <w:szCs w:val="20"/>
          <w:color w:val="auto"/>
        </w:rPr>
      </w:pPr>
      <w:r>
        <w:rPr>
          <w:rFonts w:ascii="Arial" w:cs="Arial" w:eastAsia="Arial" w:hAnsi="Arial"/>
          <w:sz w:val="18"/>
          <w:szCs w:val="18"/>
          <w:b w:val="1"/>
          <w:bCs w:val="1"/>
          <w:color w:val="auto"/>
        </w:rPr>
        <w:t>Shares of our common stock outstanding as of February 28, 2023</w:t>
      </w:r>
    </w:p>
    <w:p>
      <w:pPr>
        <w:spacing w:after="0" w:line="11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Shares of common stock offered</w:t>
      </w:r>
    </w:p>
    <w:p>
      <w:pPr>
        <w:spacing w:after="0" w:line="117" w:lineRule="exact"/>
        <w:rPr>
          <w:sz w:val="20"/>
          <w:szCs w:val="20"/>
          <w:color w:val="auto"/>
        </w:rPr>
      </w:pPr>
    </w:p>
    <w:p>
      <w:pPr>
        <w:ind w:left="480" w:right="20" w:hanging="179"/>
        <w:spacing w:after="0" w:line="316" w:lineRule="auto"/>
        <w:rPr>
          <w:sz w:val="20"/>
          <w:szCs w:val="20"/>
          <w:color w:val="auto"/>
        </w:rPr>
      </w:pPr>
      <w:r>
        <w:rPr>
          <w:rFonts w:ascii="Arial" w:cs="Arial" w:eastAsia="Arial" w:hAnsi="Arial"/>
          <w:sz w:val="17"/>
          <w:szCs w:val="17"/>
          <w:b w:val="1"/>
          <w:bCs w:val="1"/>
          <w:color w:val="auto"/>
        </w:rPr>
        <w:t>Shares of our common stock outstanding following this offering</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left="300"/>
        <w:spacing w:after="0"/>
        <w:rPr>
          <w:sz w:val="20"/>
          <w:szCs w:val="20"/>
          <w:color w:val="auto"/>
        </w:rPr>
      </w:pPr>
      <w:r>
        <w:rPr>
          <w:rFonts w:ascii="Arial" w:cs="Arial" w:eastAsia="Arial" w:hAnsi="Arial"/>
          <w:sz w:val="18"/>
          <w:szCs w:val="18"/>
          <w:b w:val="1"/>
          <w:bCs w:val="1"/>
          <w:color w:val="auto"/>
        </w:rPr>
        <w:t>Nasdaq Global Select Market symbol</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80" w:right="520" w:hanging="179"/>
        <w:spacing w:after="0" w:line="285" w:lineRule="auto"/>
        <w:rPr>
          <w:sz w:val="20"/>
          <w:szCs w:val="20"/>
          <w:color w:val="auto"/>
        </w:rPr>
      </w:pPr>
      <w:r>
        <w:rPr>
          <w:rFonts w:ascii="Arial" w:cs="Arial" w:eastAsia="Arial" w:hAnsi="Arial"/>
          <w:sz w:val="18"/>
          <w:szCs w:val="18"/>
          <w:b w:val="1"/>
          <w:bCs w:val="1"/>
          <w:color w:val="auto"/>
        </w:rPr>
        <w:t>Description of concurrent note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THE OFFERING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Tilray Brands, Inc., a Delaware corporation.</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617,857,031 shares.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Up to 38,500,000 borrowed shares.</w:t>
      </w:r>
    </w:p>
    <w:p>
      <w:pPr>
        <w:spacing w:after="0" w:line="293" w:lineRule="exact"/>
        <w:rPr>
          <w:sz w:val="20"/>
          <w:szCs w:val="20"/>
          <w:color w:val="auto"/>
        </w:rPr>
      </w:pPr>
    </w:p>
    <w:p>
      <w:pPr>
        <w:ind w:right="319"/>
        <w:spacing w:after="0" w:line="241" w:lineRule="auto"/>
        <w:rPr>
          <w:sz w:val="20"/>
          <w:szCs w:val="20"/>
          <w:color w:val="auto"/>
        </w:rPr>
      </w:pPr>
      <w:r>
        <w:rPr>
          <w:rFonts w:ascii="Arial" w:cs="Arial" w:eastAsia="Arial" w:hAnsi="Arial"/>
          <w:sz w:val="18"/>
          <w:szCs w:val="18"/>
          <w:color w:val="auto"/>
        </w:rPr>
        <w:t>656,357,031 shares (including 38,500,000 shares, the maximum number of shares of our common stock that may be offered hereby), but excluding any shares of our common stock that may be issuable upon conversion of the convertible notes).</w:t>
      </w:r>
    </w:p>
    <w:p>
      <w:pPr>
        <w:spacing w:after="0" w:line="68" w:lineRule="exact"/>
        <w:rPr>
          <w:sz w:val="20"/>
          <w:szCs w:val="20"/>
          <w:color w:val="auto"/>
        </w:rPr>
      </w:pPr>
    </w:p>
    <w:p>
      <w:pPr>
        <w:ind w:right="699"/>
        <w:spacing w:after="0" w:line="260" w:lineRule="auto"/>
        <w:rPr>
          <w:sz w:val="20"/>
          <w:szCs w:val="20"/>
          <w:color w:val="auto"/>
        </w:rPr>
      </w:pPr>
      <w:r>
        <w:rPr>
          <w:rFonts w:ascii="Arial" w:cs="Arial" w:eastAsia="Arial" w:hAnsi="Arial"/>
          <w:sz w:val="18"/>
          <w:szCs w:val="18"/>
          <w:color w:val="auto"/>
        </w:rPr>
        <w:t>Our common stock is listed on The Nasdaq Global Select Market under the symbol “TLRY.”</w:t>
      </w:r>
    </w:p>
    <w:p>
      <w:pPr>
        <w:spacing w:after="0" w:line="92" w:lineRule="exact"/>
        <w:rPr>
          <w:sz w:val="20"/>
          <w:szCs w:val="20"/>
          <w:color w:val="auto"/>
        </w:rPr>
      </w:pPr>
    </w:p>
    <w:p>
      <w:pPr>
        <w:ind w:right="319"/>
        <w:spacing w:after="0" w:line="237" w:lineRule="auto"/>
        <w:rPr>
          <w:sz w:val="20"/>
          <w:szCs w:val="20"/>
          <w:color w:val="auto"/>
        </w:rPr>
      </w:pPr>
      <w:r>
        <w:rPr>
          <w:rFonts w:ascii="Arial" w:cs="Arial" w:eastAsia="Arial" w:hAnsi="Arial"/>
          <w:sz w:val="18"/>
          <w:szCs w:val="18"/>
          <w:color w:val="auto"/>
        </w:rPr>
        <w:t>The shares of our common stock offered hereby by the selling stockholders have been borrowed through a share lending arrangement from an affiliate of one of the underwriters in our concurrent offering of convertible notes, which is borrowing the shares from us. We refer to the entity that is borrowing shares from us as the Share Borrower. The borrowed shares are newly-issued shares issued in connection with this transaction and will be held as treasury shares by us upon the expiration or the early termination of the share lending arrangement described herein.</w:t>
      </w:r>
    </w:p>
    <w:p>
      <w:pPr>
        <w:spacing w:after="0" w:line="89" w:lineRule="exact"/>
        <w:rPr>
          <w:sz w:val="20"/>
          <w:szCs w:val="20"/>
          <w:color w:val="auto"/>
        </w:rPr>
      </w:pPr>
    </w:p>
    <w:p>
      <w:pPr>
        <w:ind w:right="299"/>
        <w:spacing w:after="0" w:line="237" w:lineRule="auto"/>
        <w:rPr>
          <w:sz w:val="20"/>
          <w:szCs w:val="20"/>
          <w:color w:val="auto"/>
        </w:rPr>
      </w:pPr>
      <w:r>
        <w:rPr>
          <w:rFonts w:ascii="Arial" w:cs="Arial" w:eastAsia="Arial" w:hAnsi="Arial"/>
          <w:sz w:val="18"/>
          <w:szCs w:val="18"/>
          <w:color w:val="auto"/>
        </w:rPr>
        <w:t>We expect that the selling stockholders will sell the borrowed shares and use the resulting short position to establish their initial hedge with respect to their investments in the convertible notes. The selling stockholders may effect such transactions by selling the borrowed shares at various prices from time to time through the Share Borrower or its affiliates. The selling stockholders will receive all of the net proceeds from the sale of the borrowed shares, and we will not receive any of those proceeds, but we will receive a one-time nominal fee of $0.0001 per share for each newly-issued share from the Share Borrower for the use of the borrowed shares.</w:t>
      </w:r>
    </w:p>
    <w:p>
      <w:pPr>
        <w:spacing w:after="0" w:line="87" w:lineRule="exact"/>
        <w:rPr>
          <w:sz w:val="20"/>
          <w:szCs w:val="20"/>
          <w:color w:val="auto"/>
        </w:rPr>
      </w:pPr>
    </w:p>
    <w:p>
      <w:pPr>
        <w:jc w:val="both"/>
        <w:ind w:right="619"/>
        <w:spacing w:after="0" w:line="247" w:lineRule="auto"/>
        <w:rPr>
          <w:sz w:val="20"/>
          <w:szCs w:val="20"/>
          <w:color w:val="auto"/>
        </w:rPr>
      </w:pPr>
      <w:r>
        <w:rPr>
          <w:rFonts w:ascii="Arial" w:cs="Arial" w:eastAsia="Arial" w:hAnsi="Arial"/>
          <w:sz w:val="18"/>
          <w:szCs w:val="18"/>
          <w:color w:val="auto"/>
        </w:rPr>
        <w:t>See “Use of Proceeds”, “Description of the Share Lending Agreement; Concurrent Offering of Convertible Notes” and “Plan of Distribution.”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Concurrently with this offering and by means of a separate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prospectus supplement and accompanying base prospectus,</w:t>
      </w:r>
    </w:p>
    <w:p>
      <w:pPr>
        <w:spacing w:after="0" w:line="234" w:lineRule="auto"/>
        <w:rPr>
          <w:sz w:val="20"/>
          <w:szCs w:val="20"/>
          <w:color w:val="auto"/>
        </w:rPr>
      </w:pPr>
      <w:r>
        <w:rPr>
          <w:rFonts w:ascii="Arial" w:cs="Arial" w:eastAsia="Arial" w:hAnsi="Arial"/>
          <w:sz w:val="18"/>
          <w:szCs w:val="18"/>
          <w:color w:val="auto"/>
        </w:rPr>
        <w:t>we are offering $150,000,000 aggregate principal amount of</w:t>
      </w:r>
    </w:p>
    <w:p>
      <w:pPr>
        <w:spacing w:after="0" w:line="235" w:lineRule="auto"/>
        <w:rPr>
          <w:sz w:val="20"/>
          <w:szCs w:val="20"/>
          <w:color w:val="auto"/>
        </w:rPr>
      </w:pPr>
      <w:r>
        <w:rPr>
          <w:rFonts w:ascii="Arial" w:cs="Arial" w:eastAsia="Arial" w:hAnsi="Arial"/>
          <w:sz w:val="18"/>
          <w:szCs w:val="18"/>
          <w:color w:val="auto"/>
        </w:rPr>
        <w:t>convertible senior notes due 2027, not including the</w:t>
      </w:r>
    </w:p>
    <w:p>
      <w:pPr>
        <w:spacing w:after="0" w:line="235" w:lineRule="auto"/>
        <w:rPr>
          <w:sz w:val="20"/>
          <w:szCs w:val="20"/>
          <w:color w:val="auto"/>
        </w:rPr>
      </w:pPr>
      <w:r>
        <w:rPr>
          <w:rFonts w:ascii="Arial" w:cs="Arial" w:eastAsia="Arial" w:hAnsi="Arial"/>
          <w:sz w:val="18"/>
          <w:szCs w:val="18"/>
          <w:color w:val="auto"/>
        </w:rPr>
        <w:t>underwriters’ option to purchase up to an additional</w:t>
      </w:r>
    </w:p>
    <w:p>
      <w:pPr>
        <w:spacing w:after="0" w:line="235" w:lineRule="auto"/>
        <w:rPr>
          <w:sz w:val="20"/>
          <w:szCs w:val="20"/>
          <w:color w:val="auto"/>
        </w:rPr>
      </w:pPr>
      <w:r>
        <w:rPr>
          <w:rFonts w:ascii="Arial" w:cs="Arial" w:eastAsia="Arial" w:hAnsi="Arial"/>
          <w:sz w:val="18"/>
          <w:szCs w:val="18"/>
          <w:color w:val="auto"/>
        </w:rPr>
        <w:t>$22,500,000 principal amount of the convertible senior notes</w:t>
      </w:r>
    </w:p>
    <w:p>
      <w:pPr>
        <w:spacing w:after="0"/>
        <w:rPr>
          <w:sz w:val="20"/>
          <w:szCs w:val="20"/>
          <w:color w:val="auto"/>
        </w:rPr>
      </w:pPr>
      <w:r>
        <w:rPr>
          <w:rFonts w:ascii="Arial" w:cs="Arial" w:eastAsia="Arial" w:hAnsi="Arial"/>
          <w:sz w:val="17"/>
          <w:szCs w:val="17"/>
          <w:color w:val="auto"/>
        </w:rPr>
        <w:t>from us solely to cover overallotments, if any. See “Description</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of the Share Lending Agreement; Concurrent Offering of</w:t>
      </w:r>
    </w:p>
    <w:p>
      <w:pPr>
        <w:spacing w:after="0"/>
        <w:rPr>
          <w:sz w:val="20"/>
          <w:szCs w:val="20"/>
          <w:color w:val="auto"/>
        </w:rPr>
      </w:pPr>
      <w:r>
        <w:rPr>
          <w:rFonts w:ascii="Arial" w:cs="Arial" w:eastAsia="Arial" w:hAnsi="Arial"/>
          <w:sz w:val="18"/>
          <w:szCs w:val="18"/>
          <w:color w:val="auto"/>
        </w:rPr>
        <w:t>Convertible Notes.”.</w:t>
      </w:r>
    </w:p>
    <w:p>
      <w:pPr>
        <w:spacing w:after="0" w:line="119" w:lineRule="exact"/>
        <w:rPr>
          <w:sz w:val="20"/>
          <w:szCs w:val="20"/>
          <w:color w:val="auto"/>
        </w:rPr>
      </w:pPr>
    </w:p>
    <w:p>
      <w:pPr>
        <w:ind w:right="819"/>
        <w:spacing w:after="0" w:line="260" w:lineRule="auto"/>
        <w:rPr>
          <w:sz w:val="20"/>
          <w:szCs w:val="20"/>
          <w:color w:val="auto"/>
        </w:rPr>
      </w:pPr>
      <w:r>
        <w:rPr>
          <w:rFonts w:ascii="Arial" w:cs="Arial" w:eastAsia="Arial" w:hAnsi="Arial"/>
          <w:sz w:val="18"/>
          <w:szCs w:val="18"/>
          <w:color w:val="auto"/>
        </w:rPr>
        <w:t>Investing in our common stock involves risks. See “Risk Factors.”</w:t>
      </w:r>
    </w:p>
    <w:p>
      <w:pPr>
        <w:spacing w:after="0" w:line="200" w:lineRule="exact"/>
        <w:rPr>
          <w:sz w:val="20"/>
          <w:szCs w:val="20"/>
          <w:color w:val="auto"/>
        </w:rPr>
      </w:pPr>
    </w:p>
    <w:p>
      <w:pPr>
        <w:sectPr>
          <w:pgSz w:w="11900" w:h="16838" w:orient="portrait"/>
          <w:cols w:equalWidth="0" w:num="2">
            <w:col w:w="3460" w:space="300"/>
            <w:col w:w="5259"/>
          </w:cols>
          <w:pgMar w:left="1440" w:top="265" w:right="1440" w:bottom="1440" w:gutter="0" w:footer="0" w:header="0"/>
          <w:type w:val="continuous"/>
        </w:sect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123825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6" w:name="page7"/>
    <w:bookmarkEnd w:id="6"/>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08" w:lineRule="exact"/>
        <w:rPr>
          <w:sz w:val="20"/>
          <w:szCs w:val="20"/>
          <w:color w:val="auto"/>
        </w:rPr>
      </w:pPr>
    </w:p>
    <w:p>
      <w:pPr>
        <w:ind w:left="300" w:right="499"/>
        <w:spacing w:after="0" w:line="238" w:lineRule="auto"/>
        <w:rPr>
          <w:sz w:val="20"/>
          <w:szCs w:val="20"/>
          <w:color w:val="auto"/>
        </w:rPr>
      </w:pPr>
      <w:r>
        <w:rPr>
          <w:rFonts w:ascii="Arial" w:cs="Arial" w:eastAsia="Arial" w:hAnsi="Arial"/>
          <w:sz w:val="18"/>
          <w:szCs w:val="18"/>
          <w:i w:val="1"/>
          <w:iCs w:val="1"/>
          <w:color w:val="auto"/>
        </w:rPr>
        <w:t>Investing in our common stock involves a high degree of risk. You should consider carefully the risks described under “Risk Factors” and “Management’s Discussion and Analysis of Financial Condition and Results of Operations” in our 2022 Form 10-K, our 2023 Form 10-Qs and the other information included or incorporated by reference in this prospectus supplement and the accompanying base prospectus, before you make a decision to invest in our common stock. Additional risks and uncertainties not now known to us or that may now be immaterial may also adversely affect our business or financial performance. Our business, operations, financial condition, financial results and prospects could be materially and adversely affected by any of these risks. The trading price of our common stock could decline and you could lose all or part of your investment.</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Common Stock and the Offering</w:t>
      </w:r>
    </w:p>
    <w:p>
      <w:pPr>
        <w:spacing w:after="0" w:line="347" w:lineRule="exact"/>
        <w:rPr>
          <w:sz w:val="20"/>
          <w:szCs w:val="20"/>
          <w:color w:val="auto"/>
        </w:rPr>
      </w:pPr>
    </w:p>
    <w:p>
      <w:pPr>
        <w:jc w:val="both"/>
        <w:ind w:left="300" w:right="399"/>
        <w:spacing w:after="0" w:line="260" w:lineRule="auto"/>
        <w:rPr>
          <w:sz w:val="20"/>
          <w:szCs w:val="20"/>
          <w:color w:val="auto"/>
        </w:rPr>
      </w:pPr>
      <w:r>
        <w:rPr>
          <w:rFonts w:ascii="Arial" w:cs="Arial" w:eastAsia="Arial" w:hAnsi="Arial"/>
          <w:sz w:val="18"/>
          <w:szCs w:val="18"/>
          <w:b w:val="1"/>
          <w:bCs w:val="1"/>
          <w:i w:val="1"/>
          <w:iCs w:val="1"/>
          <w:color w:val="auto"/>
        </w:rPr>
        <w:t>The effect of the sale of the borrowed shares in this offering, which sale may be made to facilitate transactions by which investors in our convertible notes may hedge their investments, may be to lower the market price of our common stock.</w:t>
      </w:r>
    </w:p>
    <w:p>
      <w:pPr>
        <w:spacing w:after="0" w:line="53" w:lineRule="exact"/>
        <w:rPr>
          <w:sz w:val="20"/>
          <w:szCs w:val="20"/>
          <w:color w:val="auto"/>
        </w:rPr>
      </w:pPr>
    </w:p>
    <w:p>
      <w:pPr>
        <w:ind w:left="300" w:right="419"/>
        <w:spacing w:after="0" w:line="237" w:lineRule="auto"/>
        <w:rPr>
          <w:sz w:val="20"/>
          <w:szCs w:val="20"/>
          <w:color w:val="auto"/>
        </w:rPr>
      </w:pPr>
      <w:r>
        <w:rPr>
          <w:rFonts w:ascii="Arial" w:cs="Arial" w:eastAsia="Arial" w:hAnsi="Arial"/>
          <w:sz w:val="18"/>
          <w:szCs w:val="18"/>
          <w:color w:val="auto"/>
        </w:rPr>
        <w:t>We have been advised that the selling stockholders intend to sell the borrowed shares and use the resulting short position to establish their initial hedge with respect to their investments in the notes or our other convertible notes. The existence of the Share Lending Agreement (as defined below) and the short sales of shares of our common stock effected in connection with the sale of our convertible notes could cause the market price of our common stock to be lower over the term of the Share Lending Agreement than it would have been had we not entered into that agreement, due to the effect of the increase in the number of shares of our outstanding common stock being traded in the market or otherwise. The market price of our common stock could be further negatively affected by other short sales of shares of our common stock, including other sales by the purchasers of the convertible notes hedging their investment therein.</w:t>
      </w:r>
    </w:p>
    <w:p>
      <w:pPr>
        <w:spacing w:after="0" w:line="336" w:lineRule="exact"/>
        <w:rPr>
          <w:sz w:val="20"/>
          <w:szCs w:val="20"/>
          <w:color w:val="auto"/>
        </w:rPr>
      </w:pPr>
    </w:p>
    <w:p>
      <w:pPr>
        <w:ind w:left="300" w:right="979"/>
        <w:spacing w:after="0" w:line="285" w:lineRule="auto"/>
        <w:rPr>
          <w:sz w:val="20"/>
          <w:szCs w:val="20"/>
          <w:color w:val="auto"/>
        </w:rPr>
      </w:pPr>
      <w:r>
        <w:rPr>
          <w:rFonts w:ascii="Arial" w:cs="Arial" w:eastAsia="Arial" w:hAnsi="Arial"/>
          <w:sz w:val="18"/>
          <w:szCs w:val="18"/>
          <w:b w:val="1"/>
          <w:bCs w:val="1"/>
          <w:i w:val="1"/>
          <w:iCs w:val="1"/>
          <w:color w:val="auto"/>
        </w:rPr>
        <w:t>Future sales, or availability for sale, of shares of our common stock by stockholders could depress the market price of our common stock.</w:t>
      </w:r>
    </w:p>
    <w:p>
      <w:pPr>
        <w:spacing w:after="0" w:line="31" w:lineRule="exact"/>
        <w:rPr>
          <w:sz w:val="20"/>
          <w:szCs w:val="20"/>
          <w:color w:val="auto"/>
        </w:rPr>
      </w:pPr>
    </w:p>
    <w:p>
      <w:pPr>
        <w:ind w:left="300" w:right="379"/>
        <w:spacing w:after="0" w:line="243" w:lineRule="auto"/>
        <w:rPr>
          <w:sz w:val="20"/>
          <w:szCs w:val="20"/>
          <w:color w:val="auto"/>
        </w:rPr>
      </w:pPr>
      <w:r>
        <w:rPr>
          <w:rFonts w:ascii="Arial" w:cs="Arial" w:eastAsia="Arial" w:hAnsi="Arial"/>
          <w:sz w:val="18"/>
          <w:szCs w:val="18"/>
          <w:color w:val="auto"/>
        </w:rPr>
        <w:t>Sales of a substantial number of shares of our common stock in the public market, including sales by any selling stockholder or the perception that large sales could occur, could depress the market price of our common stock. Such future sales, or perception thereof, could also impact our ability to raise capital through future offerings of equity or equity-linked securities.</w:t>
      </w:r>
    </w:p>
    <w:p>
      <w:pPr>
        <w:spacing w:after="0" w:line="80" w:lineRule="exact"/>
        <w:rPr>
          <w:sz w:val="20"/>
          <w:szCs w:val="20"/>
          <w:color w:val="auto"/>
        </w:rPr>
      </w:pPr>
    </w:p>
    <w:p>
      <w:pPr>
        <w:ind w:left="300" w:right="459"/>
        <w:spacing w:after="0" w:line="256" w:lineRule="auto"/>
        <w:rPr>
          <w:sz w:val="20"/>
          <w:szCs w:val="20"/>
          <w:color w:val="auto"/>
        </w:rPr>
      </w:pPr>
      <w:r>
        <w:rPr>
          <w:rFonts w:ascii="Arial" w:cs="Arial" w:eastAsia="Arial" w:hAnsi="Arial"/>
          <w:sz w:val="17"/>
          <w:szCs w:val="17"/>
          <w:color w:val="auto"/>
        </w:rPr>
        <w:t>To the extent we issue shares of our common stock upon conversion of the convertible notes being offered concurrently or our other outstanding convertible debt, the conversion of some or all of such convertible debt will dilute the ownership interests of our existing stockholders. Any sales in the public market of common stock so issued could adversely affect prevailing market prices of our common stock. In addition, the existence of the convertible notes may encourage short selling by market participants because the conversion of the convertible notes could depress the price of our common stock.</w:t>
      </w:r>
    </w:p>
    <w:p>
      <w:pPr>
        <w:spacing w:after="0" w:line="318" w:lineRule="exact"/>
        <w:rPr>
          <w:sz w:val="20"/>
          <w:szCs w:val="20"/>
          <w:color w:val="auto"/>
        </w:rPr>
      </w:pPr>
    </w:p>
    <w:p>
      <w:pPr>
        <w:ind w:left="300" w:right="419"/>
        <w:spacing w:after="0" w:line="316" w:lineRule="auto"/>
        <w:rPr>
          <w:sz w:val="20"/>
          <w:szCs w:val="20"/>
          <w:color w:val="auto"/>
        </w:rPr>
      </w:pPr>
      <w:r>
        <w:rPr>
          <w:rFonts w:ascii="Arial" w:cs="Arial" w:eastAsia="Arial" w:hAnsi="Arial"/>
          <w:sz w:val="17"/>
          <w:szCs w:val="17"/>
          <w:b w:val="1"/>
          <w:bCs w:val="1"/>
          <w:i w:val="1"/>
          <w:iCs w:val="1"/>
          <w:color w:val="auto"/>
        </w:rPr>
        <w:t>The adjustments by convertible note investors of their hedging positions in our common stock and the expectation thereof may have a negative effect on the market price of our common stock.</w:t>
      </w:r>
    </w:p>
    <w:p>
      <w:pPr>
        <w:spacing w:after="0" w:line="8" w:lineRule="exact"/>
        <w:rPr>
          <w:sz w:val="20"/>
          <w:szCs w:val="20"/>
          <w:color w:val="auto"/>
        </w:rPr>
      </w:pPr>
    </w:p>
    <w:p>
      <w:pPr>
        <w:ind w:left="300" w:right="439"/>
        <w:spacing w:after="0" w:line="239" w:lineRule="auto"/>
        <w:rPr>
          <w:sz w:val="20"/>
          <w:szCs w:val="20"/>
          <w:color w:val="auto"/>
        </w:rPr>
      </w:pPr>
      <w:r>
        <w:rPr>
          <w:rFonts w:ascii="Arial" w:cs="Arial" w:eastAsia="Arial" w:hAnsi="Arial"/>
          <w:sz w:val="18"/>
          <w:szCs w:val="18"/>
          <w:color w:val="auto"/>
        </w:rPr>
        <w:t>The short positions in our common stock resulting from the share lending arrangement and the sale of borrowed shares in this offering are expected to be used by the Share Borrower to facilitate hedging, including through short sales of shares of our common stock, by investors in the convertible notes. The borrowed shares sold in this offering may be more or less than the number of shares that will be needed from time to time by the convertible notes investors to hedge their exposure under the notes. Any buying or selling of shares of our common stock by the investors in the concurrent note offering to adjust their hedging positions may affect the market price of our common stock.</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125095</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 w:name="page8"/>
    <w:bookmarkEnd w:id="7"/>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2" w:lineRule="exact"/>
        <w:rPr>
          <w:sz w:val="20"/>
          <w:szCs w:val="20"/>
          <w:color w:val="auto"/>
        </w:rPr>
      </w:pPr>
    </w:p>
    <w:p>
      <w:pPr>
        <w:ind w:left="300" w:right="739"/>
        <w:spacing w:after="0" w:line="260" w:lineRule="auto"/>
        <w:rPr>
          <w:sz w:val="20"/>
          <w:szCs w:val="20"/>
          <w:color w:val="auto"/>
        </w:rPr>
      </w:pPr>
      <w:r>
        <w:rPr>
          <w:rFonts w:ascii="Arial" w:cs="Arial" w:eastAsia="Arial" w:hAnsi="Arial"/>
          <w:sz w:val="18"/>
          <w:szCs w:val="18"/>
          <w:b w:val="1"/>
          <w:bCs w:val="1"/>
          <w:i w:val="1"/>
          <w:iCs w:val="1"/>
          <w:color w:val="auto"/>
        </w:rPr>
        <w:t>Changes in the accounting guidelines relating to the borrowed shares could decrease our reported net loss or earnings per share and potentially affect the market price of our common stock.</w:t>
      </w:r>
    </w:p>
    <w:p>
      <w:pPr>
        <w:spacing w:after="0" w:line="53" w:lineRule="exact"/>
        <w:rPr>
          <w:sz w:val="20"/>
          <w:szCs w:val="20"/>
          <w:color w:val="auto"/>
        </w:rPr>
      </w:pPr>
    </w:p>
    <w:p>
      <w:pPr>
        <w:ind w:left="300" w:right="319"/>
        <w:spacing w:after="0" w:line="239" w:lineRule="auto"/>
        <w:rPr>
          <w:sz w:val="20"/>
          <w:szCs w:val="20"/>
          <w:color w:val="auto"/>
        </w:rPr>
      </w:pPr>
      <w:r>
        <w:rPr>
          <w:rFonts w:ascii="Arial" w:cs="Arial" w:eastAsia="Arial" w:hAnsi="Arial"/>
          <w:sz w:val="18"/>
          <w:szCs w:val="18"/>
          <w:color w:val="auto"/>
        </w:rPr>
        <w:t>Because the amount of borrowed shares sold in this offering (or in certain circumstances, the cash value thereof) must be returned to us upon the expiration or early termination of the share lending arrangement pursuant to its terms, we believe that under U.S. GAAP, as presently in effect, the borrowed shares will not be considered outstanding for the purpose of computing and reporting our earnings or loss per share. If accounting guidelines were to change in the future, we may become required to treat the borrowed shares as outstanding for purposes of computing earnings or loss per share, and our reported earnings or loss per share would be reduced, which could affect the market price of our common stock.</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125095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 w:name="page9"/>
    <w:bookmarkEnd w:id="8"/>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14" w:lineRule="exact"/>
        <w:rPr>
          <w:sz w:val="20"/>
          <w:szCs w:val="20"/>
          <w:color w:val="auto"/>
        </w:rPr>
      </w:pPr>
    </w:p>
    <w:p>
      <w:pPr>
        <w:ind w:left="300" w:right="319"/>
        <w:spacing w:after="0" w:line="236" w:lineRule="auto"/>
        <w:rPr>
          <w:sz w:val="20"/>
          <w:szCs w:val="20"/>
          <w:color w:val="auto"/>
        </w:rPr>
      </w:pPr>
      <w:r>
        <w:rPr>
          <w:rFonts w:ascii="Arial" w:cs="Arial" w:eastAsia="Arial" w:hAnsi="Arial"/>
          <w:sz w:val="18"/>
          <w:szCs w:val="18"/>
          <w:color w:val="auto"/>
        </w:rPr>
        <w:t>Certain statements in this prospectus supplement and the accompanying base prospectus, including the documents incorporated by reference herein and therein, constitute forward-looking information or forward-looking statements within the meaning of Section 27A of the Securities Act of 1933, as amended (the “Securities Act”), and Section 21E of the Securities Exchange Act of 1934, as amended (the “Exchange Act”), which are intended to be covered by the safe harbor created by such sections and other applicable laws. The forward-looking statements are expressly qualified by this cautionary statement. Forward-looking statements are provided for the purpose of presenting information about management’s current expectations and plans relating to the future, and readers are cautioned that such statements may not be appropriate for other purposes. These statements may include, without limitation, statements regarding our operations, business, financial condition, expected financial results, performance, prospects, opportunities, priorities, targets, goals, ongoing objectives, strategies and outlook. Forward-looking statements are typically identified by words such as “expect”, “intend”, “anticipate”, “believe”, “contemplate”, “foresee”, “forecast”, “future”, “could”, “enable”, “potential”, “estimate”, “project”, “goal”, “plan”, “seek”, “strive”, “will”, “would”, “may” and “should” and similar expressions, although not all forward-looking statements contain these identifying words. Forward-looking statements reflect current beliefs of management with respect to future events and are based on information currently available to management including based on reasonable assumptions, estimates, internal and external analysis and opinions of management concerning its experience, perception of trends, current conditions and expected developments as well as other factors that management believes to be relevant as at the date such statements are made. Forward-looking statements involve significant known and unknown risks and uncertainties. Many factors could cause actual results, performance or achievement to be materially different from any future forward-looking statements. Our estimates, beliefs and assumptions are inherently subject to significant business, economic, competitive and other uncertainties and contingencies regarding future events and as such, are subject to change. We can give no assurance that such estimates, beliefs and assumptions will prove to be correct.</w:t>
      </w:r>
    </w:p>
    <w:p>
      <w:pPr>
        <w:spacing w:after="0" w:line="82" w:lineRule="exact"/>
        <w:rPr>
          <w:sz w:val="20"/>
          <w:szCs w:val="20"/>
          <w:color w:val="auto"/>
        </w:rPr>
      </w:pPr>
    </w:p>
    <w:p>
      <w:pPr>
        <w:ind w:left="300" w:right="519"/>
        <w:spacing w:after="0" w:line="243" w:lineRule="auto"/>
        <w:rPr>
          <w:sz w:val="20"/>
          <w:szCs w:val="20"/>
          <w:color w:val="auto"/>
        </w:rPr>
      </w:pPr>
      <w:r>
        <w:rPr>
          <w:rFonts w:ascii="Arial" w:cs="Arial" w:eastAsia="Arial" w:hAnsi="Arial"/>
          <w:sz w:val="18"/>
          <w:szCs w:val="18"/>
          <w:color w:val="auto"/>
        </w:rPr>
        <w:t>Any information or statements that are contained in this prospectus supplement and the accompanying base prospectus, including the documents incorporated by reference herein and therein, that are not statements of historical fact may be deemed to be forward-looking statements, including, but not limited to, statements with regards to:</w:t>
      </w:r>
    </w:p>
    <w:p>
      <w:pPr>
        <w:spacing w:after="0" w:line="80" w:lineRule="exact"/>
        <w:rPr>
          <w:sz w:val="20"/>
          <w:szCs w:val="20"/>
          <w:color w:val="auto"/>
        </w:rPr>
      </w:pPr>
    </w:p>
    <w:p>
      <w:pPr>
        <w:ind w:left="1020" w:right="439" w:hanging="368"/>
        <w:spacing w:after="0" w:line="260"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estimates of our financial information, including in respect of expected revenues, margins, cash flow, profitability, and production of cannabis;</w:t>
      </w:r>
    </w:p>
    <w:p>
      <w:pPr>
        <w:spacing w:after="0" w:line="64" w:lineRule="exact"/>
        <w:rPr>
          <w:rFonts w:ascii="Arial" w:cs="Arial" w:eastAsia="Arial" w:hAnsi="Arial"/>
          <w:sz w:val="18"/>
          <w:szCs w:val="18"/>
          <w:color w:val="auto"/>
        </w:rPr>
      </w:pPr>
    </w:p>
    <w:p>
      <w:pPr>
        <w:ind w:left="1020" w:right="439" w:hanging="368"/>
        <w:spacing w:after="0" w:line="260"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estimates of future costs applicable to sales, future capital expenditures, future cost reductions, and projected synergies including pre-tax synergies, cost savings and efficiencies;</w:t>
      </w:r>
    </w:p>
    <w:p>
      <w:pPr>
        <w:spacing w:after="0" w:line="64" w:lineRule="exact"/>
        <w:rPr>
          <w:rFonts w:ascii="Arial" w:cs="Arial" w:eastAsia="Arial" w:hAnsi="Arial"/>
          <w:sz w:val="18"/>
          <w:szCs w:val="18"/>
          <w:color w:val="auto"/>
        </w:rPr>
      </w:pPr>
    </w:p>
    <w:p>
      <w:pPr>
        <w:ind w:left="1020" w:right="659" w:hanging="368"/>
        <w:spacing w:after="0" w:line="260"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 to have scalable medical and adult-use cannabis platforms to strengthen the leadership position in Canada, internationally, and eventually in the United States;</w:t>
      </w:r>
    </w:p>
    <w:p>
      <w:pPr>
        <w:spacing w:after="0" w:line="64" w:lineRule="exact"/>
        <w:rPr>
          <w:rFonts w:ascii="Arial" w:cs="Arial" w:eastAsia="Arial" w:hAnsi="Arial"/>
          <w:sz w:val="18"/>
          <w:szCs w:val="18"/>
          <w:color w:val="auto"/>
        </w:rPr>
      </w:pPr>
    </w:p>
    <w:p>
      <w:pPr>
        <w:ind w:left="1020" w:right="899" w:hanging="368"/>
        <w:spacing w:after="0" w:line="260"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us being well positioned in the European cannabis markets and our ability to leverage our current European platforms;</w:t>
      </w:r>
    </w:p>
    <w:p>
      <w:pPr>
        <w:spacing w:after="0" w:line="64" w:lineRule="exact"/>
        <w:rPr>
          <w:rFonts w:ascii="Arial" w:cs="Arial" w:eastAsia="Arial" w:hAnsi="Arial"/>
          <w:sz w:val="18"/>
          <w:szCs w:val="18"/>
          <w:color w:val="auto"/>
        </w:rPr>
      </w:pPr>
    </w:p>
    <w:p>
      <w:pPr>
        <w:ind w:left="1020" w:right="619" w:hanging="368"/>
        <w:spacing w:after="0" w:line="260"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strategic and financial benefits in connection with the acquisition of HEXO Corp. (“HEXO”) by Tilray;</w:t>
      </w:r>
    </w:p>
    <w:p>
      <w:pPr>
        <w:spacing w:after="0" w:line="64" w:lineRule="exact"/>
        <w:rPr>
          <w:rFonts w:ascii="Arial" w:cs="Arial" w:eastAsia="Arial" w:hAnsi="Arial"/>
          <w:sz w:val="18"/>
          <w:szCs w:val="18"/>
          <w:color w:val="auto"/>
        </w:rPr>
      </w:pPr>
    </w:p>
    <w:p>
      <w:pPr>
        <w:ind w:left="1020" w:right="479" w:hanging="368"/>
        <w:spacing w:after="0" w:line="260"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legalization of cannabis in the United States and us being well positioned to compete in the United States market;</w:t>
      </w:r>
    </w:p>
    <w:p>
      <w:pPr>
        <w:spacing w:after="0" w:line="64" w:lineRule="exact"/>
        <w:rPr>
          <w:rFonts w:ascii="Arial" w:cs="Arial" w:eastAsia="Arial" w:hAnsi="Arial"/>
          <w:sz w:val="18"/>
          <w:szCs w:val="18"/>
          <w:color w:val="auto"/>
        </w:rPr>
      </w:pPr>
    </w:p>
    <w:p>
      <w:pPr>
        <w:ind w:left="1020" w:hanging="368"/>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projected growth in our market share and growth in the European Union market;</w:t>
      </w:r>
    </w:p>
    <w:p>
      <w:pPr>
        <w:spacing w:after="0" w:line="103" w:lineRule="exact"/>
        <w:rPr>
          <w:rFonts w:ascii="Arial" w:cs="Arial" w:eastAsia="Arial" w:hAnsi="Arial"/>
          <w:sz w:val="18"/>
          <w:szCs w:val="18"/>
          <w:color w:val="auto"/>
        </w:rPr>
      </w:pPr>
    </w:p>
    <w:p>
      <w:pPr>
        <w:ind w:left="1020" w:hanging="368"/>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anticipated use of proceeds from the concurrent convertible notes offering;</w:t>
      </w:r>
    </w:p>
    <w:p>
      <w:pPr>
        <w:spacing w:after="0" w:line="103" w:lineRule="exact"/>
        <w:rPr>
          <w:rFonts w:ascii="Arial" w:cs="Arial" w:eastAsia="Arial" w:hAnsi="Arial"/>
          <w:sz w:val="18"/>
          <w:szCs w:val="18"/>
          <w:color w:val="auto"/>
        </w:rPr>
      </w:pPr>
    </w:p>
    <w:p>
      <w:pPr>
        <w:ind w:left="1020" w:right="679" w:hanging="368"/>
        <w:spacing w:after="0" w:line="260"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actions of certain holders of the 2023 notes and 2024 notes that we agree to repurchase concurrently with the concurrent convertible notes offering; and</w:t>
      </w:r>
    </w:p>
    <w:p>
      <w:pPr>
        <w:spacing w:after="0" w:line="64" w:lineRule="exact"/>
        <w:rPr>
          <w:rFonts w:ascii="Arial" w:cs="Arial" w:eastAsia="Arial" w:hAnsi="Arial"/>
          <w:sz w:val="18"/>
          <w:szCs w:val="18"/>
          <w:color w:val="auto"/>
        </w:rPr>
      </w:pPr>
    </w:p>
    <w:p>
      <w:pPr>
        <w:ind w:left="1020" w:right="779" w:hanging="368"/>
        <w:spacing w:after="0" w:line="260"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 to offer a diversified and branded product offering and distribution footprint, world-class cultivation, processing and manufacturing facilities.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125095</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 w:name="page10"/>
    <w:bookmarkEnd w:id="9"/>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2" w:lineRule="exact"/>
        <w:rPr>
          <w:sz w:val="20"/>
          <w:szCs w:val="20"/>
          <w:color w:val="auto"/>
        </w:rPr>
      </w:pPr>
    </w:p>
    <w:p>
      <w:pPr>
        <w:ind w:left="300" w:right="319"/>
        <w:spacing w:after="0" w:line="239" w:lineRule="auto"/>
        <w:rPr>
          <w:sz w:val="20"/>
          <w:szCs w:val="20"/>
          <w:color w:val="auto"/>
        </w:rPr>
      </w:pPr>
      <w:r>
        <w:rPr>
          <w:rFonts w:ascii="Arial" w:cs="Arial" w:eastAsia="Arial" w:hAnsi="Arial"/>
          <w:sz w:val="18"/>
          <w:szCs w:val="18"/>
          <w:color w:val="auto"/>
        </w:rPr>
        <w:t>The forward-looking statements contained in this prospectus supplement and the accompanying base prospectus, including the documents incorporated by reference herein and therein, are subject to inherent risks and uncertainties and other factors or assumptions which could cause actual results to differ materially from those anticipated by the forward-looking statements. There can be no assurance that future developments affecting us will be those that we have anticipated. The factors which could cause results to differ from current expectations and beliefs include, but are not limited to:</w:t>
      </w:r>
    </w:p>
    <w:p>
      <w:pPr>
        <w:spacing w:after="0" w:line="86" w:lineRule="exact"/>
        <w:rPr>
          <w:sz w:val="20"/>
          <w:szCs w:val="20"/>
          <w:color w:val="auto"/>
        </w:rPr>
      </w:pPr>
    </w:p>
    <w:p>
      <w:pPr>
        <w:ind w:left="1020" w:right="339" w:hanging="368"/>
        <w:spacing w:after="0" w:line="24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additional impairments of our goodwill, impairments of our intangible and other long-lived assets, and changes in the estimated useful lives of intangible assets could have a material adverse impact on our financial results;</w:t>
      </w:r>
    </w:p>
    <w:p>
      <w:pPr>
        <w:spacing w:after="0" w:line="76" w:lineRule="exact"/>
        <w:rPr>
          <w:rFonts w:ascii="Arial" w:cs="Arial" w:eastAsia="Arial" w:hAnsi="Arial"/>
          <w:sz w:val="18"/>
          <w:szCs w:val="18"/>
          <w:color w:val="auto"/>
        </w:rPr>
      </w:pPr>
    </w:p>
    <w:p>
      <w:pPr>
        <w:ind w:left="1020" w:right="379" w:hanging="368"/>
        <w:spacing w:after="0" w:line="243"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experience difficulties in realizing operational efficiencies and associated cost synergies from the HEXO acquisition, as well as with integrating Tilray and HEXO’s operations and realizing the expected benefits, and such transaction remains subject to the satisfaction of various closing conditions;</w:t>
      </w:r>
    </w:p>
    <w:p>
      <w:pPr>
        <w:spacing w:after="0" w:line="79" w:lineRule="exact"/>
        <w:rPr>
          <w:rFonts w:ascii="Arial" w:cs="Arial" w:eastAsia="Arial" w:hAnsi="Arial"/>
          <w:sz w:val="18"/>
          <w:szCs w:val="18"/>
          <w:color w:val="auto"/>
        </w:rPr>
      </w:pPr>
    </w:p>
    <w:p>
      <w:pPr>
        <w:ind w:left="1020" w:right="479" w:hanging="368"/>
        <w:spacing w:after="0" w:line="241"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recently closed on an investment and certain transactions with HEXO Corp. (“HEXO”) and we face uncertainty with respect to our ability to realize a return on our investment and achieve expected production efficiencies and cost savings in connection with the commercial transactions with HEXO as well as the MedMen Enterprises Inc. investment and Montauk Brewing Company (“Montauk”) acquisition;</w:t>
      </w:r>
    </w:p>
    <w:p>
      <w:pPr>
        <w:spacing w:after="0" w:line="81" w:lineRule="exact"/>
        <w:rPr>
          <w:rFonts w:ascii="Arial" w:cs="Arial" w:eastAsia="Arial" w:hAnsi="Arial"/>
          <w:sz w:val="18"/>
          <w:szCs w:val="18"/>
          <w:color w:val="auto"/>
        </w:rPr>
      </w:pPr>
    </w:p>
    <w:p>
      <w:pPr>
        <w:ind w:left="1020" w:right="679" w:hanging="368"/>
        <w:spacing w:after="0" w:line="260"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is dependent upon regulatory approvals and licenses, ongoing compliance and reporting obligations, and timely renewals;</w:t>
      </w:r>
    </w:p>
    <w:p>
      <w:pPr>
        <w:spacing w:after="0" w:line="64" w:lineRule="exact"/>
        <w:rPr>
          <w:rFonts w:ascii="Arial" w:cs="Arial" w:eastAsia="Arial" w:hAnsi="Arial"/>
          <w:sz w:val="18"/>
          <w:szCs w:val="18"/>
          <w:color w:val="auto"/>
        </w:rPr>
      </w:pPr>
    </w:p>
    <w:p>
      <w:pPr>
        <w:ind w:left="1020" w:right="379" w:hanging="368"/>
        <w:spacing w:after="0" w:line="260"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subject to litigation, arbitration and demands, which could result in significant liability and costs, and impact our resources and reputation;</w:t>
      </w:r>
    </w:p>
    <w:p>
      <w:pPr>
        <w:spacing w:after="0" w:line="64" w:lineRule="exact"/>
        <w:rPr>
          <w:rFonts w:ascii="Arial" w:cs="Arial" w:eastAsia="Arial" w:hAnsi="Arial"/>
          <w:sz w:val="18"/>
          <w:szCs w:val="18"/>
          <w:color w:val="auto"/>
        </w:rPr>
      </w:pPr>
    </w:p>
    <w:p>
      <w:pPr>
        <w:ind w:left="1020" w:right="499" w:hanging="368"/>
        <w:spacing w:after="0" w:line="24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government regulation is evolving, and unfavorable changes or lack of commercial legalization could impact our ability to carry on our business as currently conducted and the potential expansion of our business;</w:t>
      </w:r>
    </w:p>
    <w:p>
      <w:pPr>
        <w:spacing w:after="0" w:line="76" w:lineRule="exact"/>
        <w:rPr>
          <w:rFonts w:ascii="Arial" w:cs="Arial" w:eastAsia="Arial" w:hAnsi="Arial"/>
          <w:sz w:val="18"/>
          <w:szCs w:val="18"/>
          <w:color w:val="auto"/>
        </w:rPr>
      </w:pPr>
    </w:p>
    <w:p>
      <w:pPr>
        <w:ind w:left="1020" w:right="699" w:hanging="368"/>
        <w:spacing w:after="0" w:line="260"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production and processing facilities are integral to our business and adverse changes or developments affecting our facilities may have an adverse impact on our business;</w:t>
      </w:r>
    </w:p>
    <w:p>
      <w:pPr>
        <w:spacing w:after="0" w:line="64" w:lineRule="exact"/>
        <w:rPr>
          <w:rFonts w:ascii="Arial" w:cs="Arial" w:eastAsia="Arial" w:hAnsi="Arial"/>
          <w:sz w:val="18"/>
          <w:szCs w:val="18"/>
          <w:color w:val="auto"/>
        </w:rPr>
      </w:pPr>
    </w:p>
    <w:p>
      <w:pPr>
        <w:ind w:left="1020" w:right="859" w:hanging="368"/>
        <w:spacing w:after="0" w:line="260"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face intense competition, and anticipate competition will increase, which could hurt our business;</w:t>
      </w:r>
    </w:p>
    <w:p>
      <w:pPr>
        <w:spacing w:after="0" w:line="64" w:lineRule="exact"/>
        <w:rPr>
          <w:rFonts w:ascii="Arial" w:cs="Arial" w:eastAsia="Arial" w:hAnsi="Arial"/>
          <w:sz w:val="18"/>
          <w:szCs w:val="18"/>
          <w:color w:val="auto"/>
        </w:rPr>
      </w:pPr>
    </w:p>
    <w:p>
      <w:pPr>
        <w:ind w:left="1020" w:hanging="368"/>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regulations constrain our ability to market and distribute our products in Canada;</w:t>
      </w:r>
    </w:p>
    <w:p>
      <w:pPr>
        <w:spacing w:after="0" w:line="103" w:lineRule="exact"/>
        <w:rPr>
          <w:rFonts w:ascii="Arial" w:cs="Arial" w:eastAsia="Arial" w:hAnsi="Arial"/>
          <w:sz w:val="18"/>
          <w:szCs w:val="18"/>
          <w:color w:val="auto"/>
        </w:rPr>
      </w:pPr>
    </w:p>
    <w:p>
      <w:pPr>
        <w:ind w:left="1020" w:right="459" w:hanging="368"/>
        <w:spacing w:after="0" w:line="24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United States regulations relating to hemp-derived CBD products are new and rapidly evolving, and changes may not develop in the timeframe or manner most favorable to our business objectives;</w:t>
      </w:r>
    </w:p>
    <w:p>
      <w:pPr>
        <w:spacing w:after="0" w:line="76" w:lineRule="exact"/>
        <w:rPr>
          <w:rFonts w:ascii="Arial" w:cs="Arial" w:eastAsia="Arial" w:hAnsi="Arial"/>
          <w:sz w:val="18"/>
          <w:szCs w:val="18"/>
          <w:color w:val="auto"/>
        </w:rPr>
      </w:pPr>
    </w:p>
    <w:p>
      <w:pPr>
        <w:ind w:left="1020" w:right="479" w:hanging="368"/>
        <w:spacing w:after="0" w:line="260"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consumer preferences or public attitudes about alcohol could decrease demand for our beverage alcohol products;</w:t>
      </w:r>
    </w:p>
    <w:p>
      <w:pPr>
        <w:spacing w:after="0" w:line="64" w:lineRule="exact"/>
        <w:rPr>
          <w:rFonts w:ascii="Arial" w:cs="Arial" w:eastAsia="Arial" w:hAnsi="Arial"/>
          <w:sz w:val="18"/>
          <w:szCs w:val="18"/>
          <w:color w:val="auto"/>
        </w:rPr>
      </w:pPr>
    </w:p>
    <w:p>
      <w:pPr>
        <w:ind w:left="1020" w:right="499" w:hanging="368"/>
        <w:spacing w:after="0" w:line="24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SweetWater, Breckenridge and Montauk each face substantial competition in the beer industry and the broader market for alcoholic beverage products which could impact our business and financial results;</w:t>
      </w:r>
    </w:p>
    <w:p>
      <w:pPr>
        <w:spacing w:after="0" w:line="76" w:lineRule="exact"/>
        <w:rPr>
          <w:rFonts w:ascii="Arial" w:cs="Arial" w:eastAsia="Arial" w:hAnsi="Arial"/>
          <w:sz w:val="18"/>
          <w:szCs w:val="18"/>
          <w:color w:val="auto"/>
        </w:rPr>
      </w:pPr>
    </w:p>
    <w:p>
      <w:pPr>
        <w:ind w:left="1020" w:right="839" w:hanging="368"/>
        <w:spacing w:after="0" w:line="260"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a limited operating history and a history of net losses, and we may not achieve or maintain profitability in the future;</w:t>
      </w:r>
    </w:p>
    <w:p>
      <w:pPr>
        <w:spacing w:after="0" w:line="64" w:lineRule="exact"/>
        <w:rPr>
          <w:rFonts w:ascii="Arial" w:cs="Arial" w:eastAsia="Arial" w:hAnsi="Arial"/>
          <w:sz w:val="18"/>
          <w:szCs w:val="18"/>
          <w:color w:val="auto"/>
        </w:rPr>
      </w:pPr>
    </w:p>
    <w:p>
      <w:pPr>
        <w:ind w:left="1020" w:right="379" w:hanging="368"/>
        <w:spacing w:after="0" w:line="260"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strategic alliances and other third-party business relationships may not achieve the intended beneficial impact and expose us to risks;</w:t>
      </w:r>
    </w:p>
    <w:p>
      <w:pPr>
        <w:spacing w:after="0" w:line="64" w:lineRule="exact"/>
        <w:rPr>
          <w:rFonts w:ascii="Arial" w:cs="Arial" w:eastAsia="Arial" w:hAnsi="Arial"/>
          <w:sz w:val="18"/>
          <w:szCs w:val="18"/>
          <w:color w:val="auto"/>
        </w:rPr>
      </w:pPr>
    </w:p>
    <w:p>
      <w:pPr>
        <w:ind w:left="1020" w:right="359" w:hanging="368"/>
        <w:spacing w:after="0" w:line="24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not be able to successfully identify and execute future acquisitions, dispositions or other equity transactions or to successfully manage the impacts of such transactions on our operations;</w:t>
      </w:r>
    </w:p>
    <w:p>
      <w:pPr>
        <w:spacing w:after="0" w:line="76" w:lineRule="exact"/>
        <w:rPr>
          <w:rFonts w:ascii="Arial" w:cs="Arial" w:eastAsia="Arial" w:hAnsi="Arial"/>
          <w:sz w:val="18"/>
          <w:szCs w:val="18"/>
          <w:color w:val="auto"/>
        </w:rPr>
      </w:pPr>
    </w:p>
    <w:p>
      <w:pPr>
        <w:ind w:left="1020" w:hanging="368"/>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subject to risks inherent in an agricultural business, including the risk of crop failure;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125095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 w:name="page11"/>
    <w:bookmarkEnd w:id="10"/>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2" w:lineRule="exact"/>
        <w:rPr>
          <w:sz w:val="20"/>
          <w:szCs w:val="20"/>
          <w:color w:val="auto"/>
        </w:rPr>
      </w:pPr>
    </w:p>
    <w:p>
      <w:pPr>
        <w:ind w:left="1020" w:right="499" w:hanging="368"/>
        <w:spacing w:after="0" w:line="243"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negatively impacted by volatility in political and economic environment, factors including the war in Ukraine, economic downturns and increases in interest rates, and a period of sustained inflation across the markets in which we operate could result in higher operating costs and may negatively impact our business and financial performance.</w:t>
      </w:r>
    </w:p>
    <w:p>
      <w:pPr>
        <w:spacing w:after="0" w:line="79" w:lineRule="exact"/>
        <w:rPr>
          <w:rFonts w:ascii="Arial" w:cs="Arial" w:eastAsia="Arial" w:hAnsi="Arial"/>
          <w:sz w:val="18"/>
          <w:szCs w:val="18"/>
          <w:color w:val="auto"/>
        </w:rPr>
      </w:pPr>
    </w:p>
    <w:p>
      <w:pPr>
        <w:jc w:val="both"/>
        <w:ind w:left="1020" w:right="339" w:hanging="368"/>
        <w:spacing w:after="0" w:line="24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depend on significant customers for a substantial portion of our revenue. If we fail to retain or expand our customer relationships or significant customers reduce their purchases, our revenue could decline significantly;</w:t>
      </w:r>
    </w:p>
    <w:p>
      <w:pPr>
        <w:spacing w:after="0" w:line="76" w:lineRule="exact"/>
        <w:rPr>
          <w:rFonts w:ascii="Arial" w:cs="Arial" w:eastAsia="Arial" w:hAnsi="Arial"/>
          <w:sz w:val="18"/>
          <w:szCs w:val="18"/>
          <w:color w:val="auto"/>
        </w:rPr>
      </w:pPr>
    </w:p>
    <w:p>
      <w:pPr>
        <w:ind w:left="1020" w:right="359" w:hanging="368"/>
        <w:spacing w:after="0" w:line="260"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products may be subject to recalls for a variety of reasons, which could require us to expend significant management and capital resources;</w:t>
      </w:r>
    </w:p>
    <w:p>
      <w:pPr>
        <w:spacing w:after="0" w:line="64" w:lineRule="exact"/>
        <w:rPr>
          <w:rFonts w:ascii="Arial" w:cs="Arial" w:eastAsia="Arial" w:hAnsi="Arial"/>
          <w:sz w:val="18"/>
          <w:szCs w:val="18"/>
          <w:color w:val="auto"/>
        </w:rPr>
      </w:pPr>
    </w:p>
    <w:p>
      <w:pPr>
        <w:ind w:left="1020" w:right="999" w:hanging="368"/>
        <w:spacing w:after="0" w:line="260"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significant interruptions in our access to certain supply chains for key inputs such as raw materials, supplies, electricity, water and other utilities may impair our operations;</w:t>
      </w:r>
    </w:p>
    <w:p>
      <w:pPr>
        <w:spacing w:after="0" w:line="64" w:lineRule="exact"/>
        <w:rPr>
          <w:rFonts w:ascii="Arial" w:cs="Arial" w:eastAsia="Arial" w:hAnsi="Arial"/>
          <w:sz w:val="18"/>
          <w:szCs w:val="18"/>
          <w:color w:val="auto"/>
        </w:rPr>
      </w:pPr>
    </w:p>
    <w:p>
      <w:pPr>
        <w:ind w:left="1020" w:right="539" w:hanging="368"/>
        <w:spacing w:after="0" w:line="260"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management may not be able to successfully establish and maintain effective internal controls over financial reporting;</w:t>
      </w:r>
    </w:p>
    <w:p>
      <w:pPr>
        <w:spacing w:after="0" w:line="64" w:lineRule="exact"/>
        <w:rPr>
          <w:rFonts w:ascii="Arial" w:cs="Arial" w:eastAsia="Arial" w:hAnsi="Arial"/>
          <w:sz w:val="18"/>
          <w:szCs w:val="18"/>
          <w:color w:val="auto"/>
        </w:rPr>
      </w:pPr>
    </w:p>
    <w:p>
      <w:pPr>
        <w:ind w:left="1020" w:right="1159" w:hanging="368"/>
        <w:spacing w:after="0" w:line="260"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price of our common stock in public markets has experienced and may continue to experience severe volatility and fluctuations;</w:t>
      </w:r>
    </w:p>
    <w:p>
      <w:pPr>
        <w:spacing w:after="0" w:line="64" w:lineRule="exact"/>
        <w:rPr>
          <w:rFonts w:ascii="Arial" w:cs="Arial" w:eastAsia="Arial" w:hAnsi="Arial"/>
          <w:sz w:val="18"/>
          <w:szCs w:val="18"/>
          <w:color w:val="auto"/>
        </w:rPr>
      </w:pPr>
    </w:p>
    <w:p>
      <w:pPr>
        <w:ind w:left="1020" w:right="599" w:hanging="368"/>
        <w:spacing w:after="0" w:line="260"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volatility of our stock and the stockholder base may hinder or prevent us from engaging in beneficial corporate initiatives;</w:t>
      </w:r>
    </w:p>
    <w:p>
      <w:pPr>
        <w:spacing w:after="0" w:line="64" w:lineRule="exact"/>
        <w:rPr>
          <w:rFonts w:ascii="Arial" w:cs="Arial" w:eastAsia="Arial" w:hAnsi="Arial"/>
          <w:sz w:val="18"/>
          <w:szCs w:val="18"/>
          <w:color w:val="auto"/>
        </w:rPr>
      </w:pPr>
    </w:p>
    <w:p>
      <w:pPr>
        <w:ind w:left="1020" w:right="479" w:hanging="368"/>
        <w:spacing w:after="0" w:line="24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terms of our outstanding warrants may limit our ability to raise additional equity capital or pursue acquisitions, which may impact funding of our ongoing operations and cause significant dilution to existing stockholders;</w:t>
      </w:r>
    </w:p>
    <w:p>
      <w:pPr>
        <w:spacing w:after="0" w:line="76" w:lineRule="exact"/>
        <w:rPr>
          <w:rFonts w:ascii="Arial" w:cs="Arial" w:eastAsia="Arial" w:hAnsi="Arial"/>
          <w:sz w:val="18"/>
          <w:szCs w:val="18"/>
          <w:color w:val="auto"/>
        </w:rPr>
      </w:pPr>
    </w:p>
    <w:p>
      <w:pPr>
        <w:ind w:left="1020" w:right="419" w:hanging="368"/>
        <w:spacing w:after="0" w:line="289" w:lineRule="auto"/>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may not have the ability to raise the funds necessary to settle conversions of the convertible securities in cash or to repurchase the convertible securities upon a fundamental change; and</w:t>
      </w:r>
    </w:p>
    <w:p>
      <w:pPr>
        <w:spacing w:after="0" w:line="42" w:lineRule="exact"/>
        <w:rPr>
          <w:rFonts w:ascii="Arial" w:cs="Arial" w:eastAsia="Arial" w:hAnsi="Arial"/>
          <w:sz w:val="17"/>
          <w:szCs w:val="17"/>
          <w:color w:val="auto"/>
        </w:rPr>
      </w:pPr>
    </w:p>
    <w:p>
      <w:pPr>
        <w:ind w:left="1020" w:right="1099" w:hanging="368"/>
        <w:spacing w:after="0" w:line="260"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subject to other risks generally applicable to our industry and the conduct of our business.</w:t>
      </w:r>
    </w:p>
    <w:p>
      <w:pPr>
        <w:spacing w:after="0" w:line="65" w:lineRule="exact"/>
        <w:rPr>
          <w:sz w:val="20"/>
          <w:szCs w:val="20"/>
          <w:color w:val="auto"/>
        </w:rPr>
      </w:pPr>
    </w:p>
    <w:p>
      <w:pPr>
        <w:ind w:left="300" w:right="319"/>
        <w:spacing w:after="0" w:line="247" w:lineRule="auto"/>
        <w:rPr>
          <w:sz w:val="20"/>
          <w:szCs w:val="20"/>
          <w:color w:val="auto"/>
        </w:rPr>
      </w:pPr>
      <w:r>
        <w:rPr>
          <w:rFonts w:ascii="Arial" w:cs="Arial" w:eastAsia="Arial" w:hAnsi="Arial"/>
          <w:sz w:val="18"/>
          <w:szCs w:val="18"/>
          <w:color w:val="auto"/>
        </w:rPr>
        <w:t>Readers are cautioned that the foregoing list of factors is not exhaustive. Other risks and uncertainties not presently known to us or that we presently believe are not material could also cause actual results or events to differ materially from those expressed in the forward-looking statements contained herein.</w:t>
      </w:r>
    </w:p>
    <w:p>
      <w:pPr>
        <w:spacing w:after="0" w:line="76" w:lineRule="exact"/>
        <w:rPr>
          <w:sz w:val="20"/>
          <w:szCs w:val="20"/>
          <w:color w:val="auto"/>
        </w:rPr>
      </w:pPr>
    </w:p>
    <w:p>
      <w:pPr>
        <w:ind w:left="300" w:right="319"/>
        <w:spacing w:after="0" w:line="256" w:lineRule="auto"/>
        <w:rPr>
          <w:sz w:val="20"/>
          <w:szCs w:val="20"/>
          <w:color w:val="auto"/>
        </w:rPr>
      </w:pPr>
      <w:r>
        <w:rPr>
          <w:rFonts w:ascii="Arial" w:cs="Arial" w:eastAsia="Arial" w:hAnsi="Arial"/>
          <w:sz w:val="17"/>
          <w:szCs w:val="17"/>
          <w:color w:val="auto"/>
        </w:rPr>
        <w:t>Additional information on these and other factors that could affect our operations or financial results are included in reports filed by us with applicable securities regulatory authorities and may be accessed through EDGAR (www.sec.gov). These risks and other factors are also discussed in more detail in the section entitled “Risk Factors” contained in our most recent Annual Report on Form 10-K, as amended, as well as any amendments thereto reflected in subsequent filings with the SEC and in our other filings that are incorporated by reference into this prospectus supplement and the accompanying base prospectus.</w:t>
      </w:r>
    </w:p>
    <w:p>
      <w:pPr>
        <w:spacing w:after="0" w:line="72" w:lineRule="exact"/>
        <w:rPr>
          <w:sz w:val="20"/>
          <w:szCs w:val="20"/>
          <w:color w:val="auto"/>
        </w:rPr>
      </w:pPr>
    </w:p>
    <w:p>
      <w:pPr>
        <w:ind w:left="300" w:right="319"/>
        <w:spacing w:after="0" w:line="236" w:lineRule="auto"/>
        <w:rPr>
          <w:sz w:val="20"/>
          <w:szCs w:val="20"/>
          <w:color w:val="auto"/>
        </w:rPr>
      </w:pPr>
      <w:r>
        <w:rPr>
          <w:rFonts w:ascii="Arial" w:cs="Arial" w:eastAsia="Arial" w:hAnsi="Arial"/>
          <w:sz w:val="18"/>
          <w:szCs w:val="18"/>
          <w:color w:val="auto"/>
        </w:rPr>
        <w:t>The forward-looking statements contained in this prospectus supplement and the accompanying base prospectus, including the documents incorporated by reference herein and therein, are expressly qualified in their entirety by this cautionary statement. We cannot guarantee that the results or events expressed or implied in any forward-looking statement and information will materialize and accordingly, readers are cautioned not to place undue reliance on these forward-looking statements, which reflect our expectations only as of the date of the document containing the applicable statement. We disclaim any obligation to update or revise any forward-looking statements, whether as a result of new information, future events or otherwise, except as required by law. Thus, you should not assume that our silence over time means that actual events are bearing out as expressed or implied in such forward-looking statements. You should read this prospectus supplement, the accompany prospectus, together with the documents we have filed with the SEC that are incorporated by reference and any free writing prospectus we have authorized for use in connection with a specific offering completely and with the understanding that our actual future results may be materially different from what we expect. We qualify all of the forward-looking statements in the foregoing documents by these cautionary statements.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125095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 w:name="page12"/>
    <w:bookmarkEnd w:id="11"/>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14" w:lineRule="exact"/>
        <w:rPr>
          <w:sz w:val="20"/>
          <w:szCs w:val="20"/>
          <w:color w:val="auto"/>
        </w:rPr>
      </w:pPr>
    </w:p>
    <w:p>
      <w:pPr>
        <w:ind w:left="300" w:right="479"/>
        <w:spacing w:after="0" w:line="239" w:lineRule="auto"/>
        <w:rPr>
          <w:sz w:val="20"/>
          <w:szCs w:val="20"/>
          <w:color w:val="auto"/>
        </w:rPr>
      </w:pPr>
      <w:r>
        <w:rPr>
          <w:rFonts w:ascii="Arial" w:cs="Arial" w:eastAsia="Arial" w:hAnsi="Arial"/>
          <w:sz w:val="18"/>
          <w:szCs w:val="18"/>
          <w:color w:val="auto"/>
        </w:rPr>
        <w:t>The shares offered hereby by the selling stockholders have been borrowed through a share lending arrangement from an affiliate of one of the underwriters in our concurrent offering of convertible notes, which affiliate is borrowing the shares from us. We refer to the entity that is borrowing shares from us as the Share Borrower. The borrowed shares are newly-issued shares issued in connection with this transaction and will be held as treasury shares by us upon the expiration or the early termination of the share lending arrangement described herein.</w:t>
      </w:r>
    </w:p>
    <w:p>
      <w:pPr>
        <w:spacing w:after="0" w:line="86" w:lineRule="exact"/>
        <w:rPr>
          <w:sz w:val="20"/>
          <w:szCs w:val="20"/>
          <w:color w:val="auto"/>
        </w:rPr>
      </w:pPr>
    </w:p>
    <w:p>
      <w:pPr>
        <w:ind w:left="300" w:right="399"/>
        <w:spacing w:after="0" w:line="239" w:lineRule="auto"/>
        <w:rPr>
          <w:sz w:val="20"/>
          <w:szCs w:val="20"/>
          <w:color w:val="auto"/>
        </w:rPr>
      </w:pPr>
      <w:r>
        <w:rPr>
          <w:rFonts w:ascii="Arial" w:cs="Arial" w:eastAsia="Arial" w:hAnsi="Arial"/>
          <w:sz w:val="18"/>
          <w:szCs w:val="18"/>
          <w:color w:val="auto"/>
        </w:rPr>
        <w:t>We expect that the selling stockholders will sell the borrowed shares and use the resulting short position to establish their initial hedge with respect to their investments in the convertible notes. The selling stockholders may effect such transactions by selling the borrowed shares at various prices from time to time through the Share Borrower or its affiliates. The selling stockholders will receive all of the net proceeds from the sale of the borrowed shares and we will not receive any of those proceeds, but we will receive a one-time nominal fee of $0.0001 per share for each newly-issued share from the Share Borrower for the use of the borrowed shares.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125095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 w:name="page13"/>
    <w:bookmarkEnd w:id="12"/>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SHARE LENDING AGREEMENT;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CONCURRENT OFFERING OF CONVERTIBLE NOTES</w:t>
      </w:r>
    </w:p>
    <w:p>
      <w:pPr>
        <w:spacing w:after="0" w:line="92" w:lineRule="exact"/>
        <w:rPr>
          <w:sz w:val="20"/>
          <w:szCs w:val="20"/>
          <w:color w:val="auto"/>
        </w:rPr>
      </w:pPr>
    </w:p>
    <w:p>
      <w:pPr>
        <w:ind w:left="300" w:right="319"/>
        <w:spacing w:after="0" w:line="238" w:lineRule="auto"/>
        <w:rPr>
          <w:sz w:val="20"/>
          <w:szCs w:val="20"/>
          <w:color w:val="auto"/>
        </w:rPr>
      </w:pPr>
      <w:r>
        <w:rPr>
          <w:rFonts w:ascii="Arial" w:cs="Arial" w:eastAsia="Arial" w:hAnsi="Arial"/>
          <w:sz w:val="18"/>
          <w:szCs w:val="18"/>
          <w:color w:val="auto"/>
        </w:rPr>
        <w:t>Concurrently with this offering, we are offering, by means of a separate prospectus supplement and accompanying base prospectus, $150,000,000 aggregate principal amount of our 5.20% convertible senior notes due 2027 in an offering registered under the Securities Act of 1933, as amended (the “Securities Act”). We have granted to the underwriters in the concurrent offering of the convertible notes an option, exercisable for 30 days from the date of the prospectus supplement related to the offering of the convertible notes, to purchase up to $22,500,000 aggregate principal amount of additional notes at the public offering price less the underwriting discount, solely to cover over-allotments, if any. The delivery of the borrowed shares being offered hereby is conditioned upon the closing of the concurrent offering of the convertible notes.</w:t>
      </w:r>
    </w:p>
    <w:p>
      <w:pPr>
        <w:spacing w:after="0" w:line="83" w:lineRule="exact"/>
        <w:rPr>
          <w:sz w:val="20"/>
          <w:szCs w:val="20"/>
          <w:color w:val="auto"/>
        </w:rPr>
      </w:pPr>
    </w:p>
    <w:p>
      <w:pPr>
        <w:ind w:left="300" w:right="399"/>
        <w:spacing w:after="0" w:line="238" w:lineRule="auto"/>
        <w:rPr>
          <w:sz w:val="20"/>
          <w:szCs w:val="20"/>
          <w:color w:val="auto"/>
        </w:rPr>
      </w:pPr>
      <w:r>
        <w:rPr>
          <w:rFonts w:ascii="Arial" w:cs="Arial" w:eastAsia="Arial" w:hAnsi="Arial"/>
          <w:sz w:val="18"/>
          <w:szCs w:val="18"/>
          <w:color w:val="auto"/>
        </w:rPr>
        <w:t>We intend to use a portion of the net proceeds of the concurrent offering of the convertible notes to finance the concurrent repurchase of a portion of our 5.00% Convertible Senior Notes due 2023 (our “2023 notes”) and our 5.25% Convertible Senior Notes due 2024 (our “2024 notes”). Contemporaneously with the pricing of the concurrent offering of our convertible notes, we entered into separate privately negotiated transactions with certain holders of the 2023 notes and 2024 notes to repurchase approximately $12.5 million in aggregate principal amount of the 2023 notes and approximately $122.5 million in aggregate principal amount of the 2024 notes (each a “note repurchase”) for an aggregate purchase price of $138.3 million.</w:t>
      </w:r>
    </w:p>
    <w:p>
      <w:pPr>
        <w:spacing w:after="0" w:line="86" w:lineRule="exact"/>
        <w:rPr>
          <w:sz w:val="20"/>
          <w:szCs w:val="20"/>
          <w:color w:val="auto"/>
        </w:rPr>
      </w:pPr>
    </w:p>
    <w:p>
      <w:pPr>
        <w:ind w:left="300" w:right="299"/>
        <w:spacing w:after="0" w:line="237" w:lineRule="auto"/>
        <w:rPr>
          <w:sz w:val="20"/>
          <w:szCs w:val="20"/>
          <w:color w:val="auto"/>
        </w:rPr>
      </w:pPr>
      <w:r>
        <w:rPr>
          <w:rFonts w:ascii="Arial" w:cs="Arial" w:eastAsia="Arial" w:hAnsi="Arial"/>
          <w:sz w:val="18"/>
          <w:szCs w:val="18"/>
          <w:color w:val="auto"/>
        </w:rPr>
        <w:t>To facilitate transactions by which investors in our convertible notes may establish their initial hedge with respect to their convertible notes investments, we have entered into a share lending agreement (the “Share Lending Agreement”) with the Share Borrower (Jefferies Capital Services, LLC, which is an affiliate of one of the underwriters in the concurrent offering of our convertible notes), under which we have agreed to loan to the Share Borrower a total of up to 38,500,000 shares of our common stock. The share lending arrangement with the Share Borrower will be available during a period beginning on the date of the closing of the offering of the convertible notes and ending on or about the maturity date of the notes, or, if earlier, on or about the date as of which all of the notes cease to be outstanding as a result of redemption, repurchase, conversion or other acquisition for value (or earlier in certain circumstances), which we refer to as the “loan availability period.”</w:t>
      </w:r>
    </w:p>
    <w:p>
      <w:pPr>
        <w:spacing w:after="0" w:line="89" w:lineRule="exact"/>
        <w:rPr>
          <w:sz w:val="20"/>
          <w:szCs w:val="20"/>
          <w:color w:val="auto"/>
        </w:rPr>
      </w:pPr>
    </w:p>
    <w:p>
      <w:pPr>
        <w:ind w:left="300" w:right="339"/>
        <w:spacing w:after="0" w:line="247" w:lineRule="auto"/>
        <w:rPr>
          <w:sz w:val="20"/>
          <w:szCs w:val="20"/>
          <w:color w:val="auto"/>
        </w:rPr>
      </w:pPr>
      <w:r>
        <w:rPr>
          <w:rFonts w:ascii="Arial" w:cs="Arial" w:eastAsia="Arial" w:hAnsi="Arial"/>
          <w:sz w:val="18"/>
          <w:szCs w:val="18"/>
          <w:color w:val="auto"/>
        </w:rPr>
        <w:t>Share loans under the Share Lending Agreement will terminate, and the borrowed shares thereunder must be returned to us, if the concurrent offering of the notes is not consummated or upon the termination of the loan availability period, as well as under the following circumstances:</w:t>
      </w:r>
    </w:p>
    <w:p>
      <w:pPr>
        <w:spacing w:after="0" w:line="76" w:lineRule="exact"/>
        <w:rPr>
          <w:sz w:val="20"/>
          <w:szCs w:val="20"/>
          <w:color w:val="auto"/>
        </w:rPr>
      </w:pPr>
    </w:p>
    <w:p>
      <w:pPr>
        <w:ind w:left="1020" w:right="1099" w:hanging="368"/>
        <w:spacing w:after="0" w:line="260"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Share Borrower may terminate all or any portion of a loan under the Share Lending Agreement at any time;</w:t>
      </w:r>
    </w:p>
    <w:p>
      <w:pPr>
        <w:spacing w:after="0" w:line="64" w:lineRule="exact"/>
        <w:rPr>
          <w:rFonts w:ascii="Arial" w:cs="Arial" w:eastAsia="Arial" w:hAnsi="Arial"/>
          <w:sz w:val="18"/>
          <w:szCs w:val="18"/>
          <w:color w:val="auto"/>
        </w:rPr>
      </w:pPr>
    </w:p>
    <w:p>
      <w:pPr>
        <w:ind w:left="1020" w:right="679" w:hanging="368"/>
        <w:spacing w:after="0" w:line="260"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after the date on which all of the notes are repurchased, converted or otherwise acquired for value; and</w:t>
      </w:r>
    </w:p>
    <w:p>
      <w:pPr>
        <w:spacing w:after="0" w:line="64" w:lineRule="exact"/>
        <w:rPr>
          <w:rFonts w:ascii="Arial" w:cs="Arial" w:eastAsia="Arial" w:hAnsi="Arial"/>
          <w:sz w:val="18"/>
          <w:szCs w:val="18"/>
          <w:color w:val="auto"/>
        </w:rPr>
      </w:pPr>
    </w:p>
    <w:p>
      <w:pPr>
        <w:ind w:left="1020" w:right="659" w:hanging="368"/>
        <w:spacing w:after="0" w:line="243"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either we or the Share Borrower may terminate any or all of the applicable outstanding loans upon a default by the other party under the Share Lending Agreement, including certain breaches of representations, warranties, covenants or agreements under the Share Lending Agreement, or the bankruptcy of the Share Borrower or us.</w:t>
      </w:r>
    </w:p>
    <w:p>
      <w:pPr>
        <w:spacing w:after="0" w:line="80" w:lineRule="exact"/>
        <w:rPr>
          <w:sz w:val="20"/>
          <w:szCs w:val="20"/>
          <w:color w:val="auto"/>
        </w:rPr>
      </w:pPr>
    </w:p>
    <w:p>
      <w:pPr>
        <w:ind w:left="300" w:right="539"/>
        <w:spacing w:after="0" w:line="243" w:lineRule="auto"/>
        <w:rPr>
          <w:sz w:val="20"/>
          <w:szCs w:val="20"/>
          <w:color w:val="auto"/>
        </w:rPr>
      </w:pPr>
      <w:r>
        <w:rPr>
          <w:rFonts w:ascii="Arial" w:cs="Arial" w:eastAsia="Arial" w:hAnsi="Arial"/>
          <w:sz w:val="18"/>
          <w:szCs w:val="18"/>
          <w:color w:val="auto"/>
        </w:rPr>
        <w:t>The holders of the borrowed shares will have the right to vote the shares on all matters submitted to a vote of our stockholders and the right to receive any dividends or other distributions that we may pay or make on our outstanding shares of common stock. However, under the Share Lending Agreement, the Share Borrower has agreed:</w:t>
      </w:r>
    </w:p>
    <w:p>
      <w:pPr>
        <w:spacing w:after="0" w:line="80" w:lineRule="exact"/>
        <w:rPr>
          <w:sz w:val="20"/>
          <w:szCs w:val="20"/>
          <w:color w:val="auto"/>
        </w:rPr>
      </w:pPr>
    </w:p>
    <w:p>
      <w:pPr>
        <w:ind w:left="1020" w:hanging="368"/>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pay to us an amount equal to cash dividends, if any, that we pay on the borrowed shares;</w:t>
      </w:r>
    </w:p>
    <w:p>
      <w:pPr>
        <w:spacing w:after="0" w:line="103" w:lineRule="exact"/>
        <w:rPr>
          <w:rFonts w:ascii="Arial" w:cs="Arial" w:eastAsia="Arial" w:hAnsi="Arial"/>
          <w:sz w:val="18"/>
          <w:szCs w:val="18"/>
          <w:color w:val="auto"/>
        </w:rPr>
      </w:pPr>
    </w:p>
    <w:p>
      <w:pPr>
        <w:ind w:left="1020" w:right="399" w:hanging="368"/>
        <w:spacing w:after="0" w:line="260"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pay or deliver, as the case may be, to us any other distribution, other than in a liquidation or a reorganization in bankruptcy, that we make on the borrowed shares; and</w:t>
      </w:r>
    </w:p>
    <w:p>
      <w:pPr>
        <w:spacing w:after="0" w:line="64" w:lineRule="exact"/>
        <w:rPr>
          <w:rFonts w:ascii="Arial" w:cs="Arial" w:eastAsia="Arial" w:hAnsi="Arial"/>
          <w:sz w:val="18"/>
          <w:szCs w:val="18"/>
          <w:color w:val="auto"/>
        </w:rPr>
      </w:pPr>
    </w:p>
    <w:p>
      <w:pPr>
        <w:ind w:left="1020" w:right="299" w:hanging="368"/>
        <w:spacing w:after="0" w:line="260"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 to vote on the borrowed shares on any matter submitted to a vote of our stockholders, except in certain circumstances where such vote is required for quorum purposes.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125095</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 w:name="page14"/>
    <w:bookmarkEnd w:id="13"/>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2" w:lineRule="exact"/>
        <w:rPr>
          <w:sz w:val="20"/>
          <w:szCs w:val="20"/>
          <w:color w:val="auto"/>
        </w:rPr>
      </w:pPr>
    </w:p>
    <w:p>
      <w:pPr>
        <w:ind w:left="300" w:right="419"/>
        <w:spacing w:after="0" w:line="238" w:lineRule="auto"/>
        <w:rPr>
          <w:sz w:val="20"/>
          <w:szCs w:val="20"/>
          <w:color w:val="auto"/>
        </w:rPr>
      </w:pPr>
      <w:r>
        <w:rPr>
          <w:rFonts w:ascii="Arial" w:cs="Arial" w:eastAsia="Arial" w:hAnsi="Arial"/>
          <w:sz w:val="18"/>
          <w:szCs w:val="18"/>
          <w:color w:val="auto"/>
        </w:rPr>
        <w:t>We expect that the selling stockholders will sell the borrowed shares and use the resulting short position to establish their initial hedge with respect to their respective investments in the notes. The total number of shares that the selling stockholders can borrow under the Share Lending Agreement is limited to a maximum of 38,500,000 shares. The selling stockholders may effect such transactions by selling the borrowed shares at various prices from time to time through one of the underwriters of the convertible notes offering (or its affiliates), which may receive compensation in the form of discounts, concessions or commissions from the selling stockholders and/or from purchasers of borrowed shares for whom the underwriter (or its affiliates) may act as agent or to whom it may sell as principal. In addition, the Share Borrower has agreed to pay to us a nominal fee of $0.0001 for each newly issued share.</w:t>
      </w:r>
    </w:p>
    <w:p>
      <w:pPr>
        <w:spacing w:after="0" w:line="83" w:lineRule="exact"/>
        <w:rPr>
          <w:sz w:val="20"/>
          <w:szCs w:val="20"/>
          <w:color w:val="auto"/>
        </w:rPr>
      </w:pPr>
    </w:p>
    <w:p>
      <w:pPr>
        <w:ind w:left="300" w:right="359"/>
        <w:spacing w:after="0" w:line="237" w:lineRule="auto"/>
        <w:rPr>
          <w:sz w:val="20"/>
          <w:szCs w:val="20"/>
          <w:color w:val="auto"/>
        </w:rPr>
      </w:pPr>
      <w:r>
        <w:rPr>
          <w:rFonts w:ascii="Arial" w:cs="Arial" w:eastAsia="Arial" w:hAnsi="Arial"/>
          <w:sz w:val="18"/>
          <w:szCs w:val="18"/>
          <w:color w:val="auto"/>
        </w:rPr>
        <w:t>The existence of the Share Lending Agreement and the short sales of shares of our common stock effected in connection with the sale of the convertible notes being offered concurrently could cause the market price of our common stock to be lower over the term of the Share Lending Agreement than it would have been if there was no such agreement. See “Risk Factors—Risks Related to Our Common Stock and the Offering—The effect of the sale of the borrowed shares in this offering, which sale may be made to facilitate transactions by which investors in our convertible notes may hedge their investments, may be to lower the market price of our common stock.” However, we have determined that our entry into the Share Lending Agreement is in our best interests as a means to facilitate the offer and sale of the notes pursuant to the related prospectus supplement and accompanying prospectus on terms more favorable to us than we could have otherwise obtained.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125095</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 w:name="page15"/>
    <w:bookmarkEnd w:id="14"/>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114" w:lineRule="exact"/>
        <w:rPr>
          <w:sz w:val="20"/>
          <w:szCs w:val="20"/>
          <w:color w:val="auto"/>
        </w:rPr>
      </w:pPr>
    </w:p>
    <w:p>
      <w:pPr>
        <w:ind w:left="300" w:right="339"/>
        <w:spacing w:after="0" w:line="237" w:lineRule="auto"/>
        <w:rPr>
          <w:sz w:val="20"/>
          <w:szCs w:val="20"/>
          <w:color w:val="auto"/>
        </w:rPr>
      </w:pPr>
      <w:r>
        <w:rPr>
          <w:rFonts w:ascii="Arial" w:cs="Arial" w:eastAsia="Arial" w:hAnsi="Arial"/>
          <w:sz w:val="18"/>
          <w:szCs w:val="18"/>
          <w:color w:val="auto"/>
        </w:rPr>
        <w:t>Based solely upon information furnished to us by the selling stockholders, the following table sets forth information with respect to the beneficial ownership of shares of our common stock held as of the date of this prospectus by the selling stockholders. The selling stockholders are offering an aggregate of up to 38,500,000 shares of our common stock. The selling stockholders will borrow such shares through a lending arrangement from an affiliate of one of the underwriters in our concurrent offering of convertible notes, which affiliate is borrowing the shares from us. The borrowed shares are newly-issued shares issued in connection with this transaction issued by us and will be held as treasury shares by us upon the expiration or the early termination of the share lending arrangement described herein. The table below assumes that all the shares being offered by the selling stockholders pursuant to this prospectus supplement are ultimately sold pursuant to this prospectus supplement. The selling shareholders may sell some, all or none of their shares covered by this prospectus supplement.</w:t>
      </w:r>
    </w:p>
    <w:p>
      <w:pPr>
        <w:spacing w:after="0" w:line="168"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39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Common</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Percentage</w:t>
            </w:r>
          </w:p>
        </w:tc>
        <w:tc>
          <w:tcPr>
            <w:tcW w:w="780" w:type="dxa"/>
            <w:vAlign w:val="bottom"/>
          </w:tcPr>
          <w:p>
            <w:pPr>
              <w:spacing w:after="0"/>
              <w:rPr>
                <w:sz w:val="14"/>
                <w:szCs w:val="14"/>
                <w:color w:val="auto"/>
              </w:rPr>
            </w:pPr>
          </w:p>
        </w:tc>
        <w:tc>
          <w:tcPr>
            <w:tcW w:w="980" w:type="dxa"/>
            <w:vAlign w:val="bottom"/>
          </w:tcPr>
          <w:p>
            <w:pPr>
              <w:jc w:val="center"/>
              <w:ind w:left="8"/>
              <w:spacing w:after="0"/>
              <w:rPr>
                <w:sz w:val="20"/>
                <w:szCs w:val="20"/>
                <w:color w:val="auto"/>
              </w:rPr>
            </w:pPr>
            <w:r>
              <w:rPr>
                <w:rFonts w:ascii="Arial" w:cs="Arial" w:eastAsia="Arial" w:hAnsi="Arial"/>
                <w:sz w:val="14"/>
                <w:szCs w:val="14"/>
                <w:b w:val="1"/>
                <w:bCs w:val="1"/>
                <w:color w:val="auto"/>
              </w:rPr>
              <w:t>Common</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Percentage</w:t>
            </w:r>
          </w:p>
        </w:tc>
      </w:tr>
      <w:tr>
        <w:trPr>
          <w:trHeight w:val="162"/>
        </w:trPr>
        <w:tc>
          <w:tcPr>
            <w:tcW w:w="39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of Class</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980" w:type="dxa"/>
            <w:vAlign w:val="bottom"/>
          </w:tcPr>
          <w:p>
            <w:pPr>
              <w:jc w:val="center"/>
              <w:ind w:left="28"/>
              <w:spacing w:after="0"/>
              <w:rPr>
                <w:sz w:val="20"/>
                <w:szCs w:val="20"/>
                <w:color w:val="auto"/>
              </w:rPr>
            </w:pPr>
            <w:r>
              <w:rPr>
                <w:rFonts w:ascii="Arial" w:cs="Arial" w:eastAsia="Arial" w:hAnsi="Arial"/>
                <w:sz w:val="14"/>
                <w:szCs w:val="14"/>
                <w:b w:val="1"/>
                <w:bCs w:val="1"/>
                <w:color w:val="auto"/>
              </w:rPr>
              <w:t>Shares</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of Class</w:t>
            </w:r>
          </w:p>
        </w:tc>
      </w:tr>
      <w:tr>
        <w:trPr>
          <w:trHeight w:val="175"/>
        </w:trPr>
        <w:tc>
          <w:tcPr>
            <w:tcW w:w="3920" w:type="dxa"/>
            <w:vAlign w:val="bottom"/>
          </w:tcPr>
          <w:p>
            <w:pPr>
              <w:ind w:left="3760"/>
              <w:spacing w:after="0"/>
              <w:rPr>
                <w:sz w:val="20"/>
                <w:szCs w:val="20"/>
                <w:color w:val="auto"/>
              </w:rPr>
            </w:pPr>
            <w:r>
              <w:rPr>
                <w:rFonts w:ascii="Arial" w:cs="Arial" w:eastAsia="Arial" w:hAnsi="Arial"/>
                <w:sz w:val="4"/>
                <w:szCs w:val="4"/>
                <w:color w:val="auto"/>
              </w:rPr>
              <w:t>​   ​</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Owned</w:t>
            </w:r>
          </w:p>
        </w:tc>
        <w:tc>
          <w:tcPr>
            <w:tcW w:w="1140" w:type="dxa"/>
            <w:vAlign w:val="bottom"/>
          </w:tcPr>
          <w:p>
            <w:pPr>
              <w:ind w:left="60"/>
              <w:spacing w:after="0"/>
              <w:rPr>
                <w:sz w:val="20"/>
                <w:szCs w:val="20"/>
                <w:color w:val="auto"/>
              </w:rPr>
            </w:pPr>
            <w:r>
              <w:rPr>
                <w:rFonts w:ascii="Arial" w:cs="Arial" w:eastAsia="Arial" w:hAnsi="Arial"/>
                <w:sz w:val="7"/>
                <w:szCs w:val="7"/>
                <w:color w:val="auto"/>
                <w:vertAlign w:val="subscript"/>
              </w:rPr>
              <w:t>​   ​</w:t>
            </w:r>
            <w:r>
              <w:rPr>
                <w:rFonts w:ascii="Arial" w:cs="Arial" w:eastAsia="Arial" w:hAnsi="Arial"/>
                <w:sz w:val="14"/>
                <w:szCs w:val="14"/>
                <w:b w:val="1"/>
                <w:bCs w:val="1"/>
                <w:color w:val="auto"/>
              </w:rPr>
              <w:t xml:space="preserve">           Owned  </w:t>
            </w:r>
            <w:r>
              <w:rPr>
                <w:rFonts w:ascii="Arial" w:cs="Arial" w:eastAsia="Arial" w:hAnsi="Arial"/>
                <w:sz w:val="7"/>
                <w:szCs w:val="7"/>
                <w:color w:val="auto"/>
                <w:vertAlign w:val="subscript"/>
              </w:rPr>
              <w:t>​   ​</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Common</w:t>
            </w:r>
          </w:p>
        </w:tc>
        <w:tc>
          <w:tcPr>
            <w:tcW w:w="980" w:type="dxa"/>
            <w:vAlign w:val="bottom"/>
          </w:tcPr>
          <w:p>
            <w:pPr>
              <w:ind w:left="80"/>
              <w:spacing w:after="0"/>
              <w:rPr>
                <w:sz w:val="20"/>
                <w:szCs w:val="20"/>
                <w:color w:val="auto"/>
              </w:rPr>
            </w:pPr>
            <w:r>
              <w:rPr>
                <w:rFonts w:ascii="Arial" w:cs="Arial" w:eastAsia="Arial" w:hAnsi="Arial"/>
                <w:sz w:val="7"/>
                <w:szCs w:val="7"/>
                <w:color w:val="auto"/>
                <w:w w:val="98"/>
                <w:vertAlign w:val="subscript"/>
              </w:rPr>
              <w:t>​   ​</w:t>
            </w:r>
            <w:r>
              <w:rPr>
                <w:rFonts w:ascii="Arial" w:cs="Arial" w:eastAsia="Arial" w:hAnsi="Arial"/>
                <w:sz w:val="14"/>
                <w:szCs w:val="14"/>
                <w:b w:val="1"/>
                <w:bCs w:val="1"/>
                <w:color w:val="auto"/>
                <w:w w:val="98"/>
              </w:rPr>
              <w:t xml:space="preserve">        Owned </w:t>
            </w:r>
            <w:r>
              <w:rPr>
                <w:rFonts w:ascii="Arial" w:cs="Arial" w:eastAsia="Arial" w:hAnsi="Arial"/>
                <w:sz w:val="7"/>
                <w:szCs w:val="7"/>
                <w:color w:val="auto"/>
                <w:w w:val="98"/>
                <w:vertAlign w:val="subscript"/>
              </w:rPr>
              <w:t>​   ​</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Owned</w:t>
            </w:r>
          </w:p>
        </w:tc>
      </w:tr>
      <w:tr>
        <w:trPr>
          <w:trHeight w:val="149"/>
        </w:trPr>
        <w:tc>
          <w:tcPr>
            <w:tcW w:w="39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Before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Prior to</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Shares</w:t>
            </w:r>
          </w:p>
        </w:tc>
        <w:tc>
          <w:tcPr>
            <w:tcW w:w="98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rPr>
              <w:t>Following</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Following</w:t>
            </w:r>
          </w:p>
        </w:tc>
      </w:tr>
      <w:tr>
        <w:trPr>
          <w:trHeight w:val="148"/>
        </w:trPr>
        <w:tc>
          <w:tcPr>
            <w:tcW w:w="3920" w:type="dxa"/>
            <w:vAlign w:val="bottom"/>
          </w:tcPr>
          <w:p>
            <w:pPr>
              <w:spacing w:after="0"/>
              <w:rPr>
                <w:sz w:val="12"/>
                <w:szCs w:val="12"/>
                <w:color w:val="auto"/>
              </w:rPr>
            </w:pPr>
          </w:p>
        </w:tc>
        <w:tc>
          <w:tcPr>
            <w:tcW w:w="8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the</w:t>
            </w:r>
          </w:p>
        </w:tc>
        <w:tc>
          <w:tcPr>
            <w:tcW w:w="11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the</w:t>
            </w:r>
          </w:p>
        </w:tc>
        <w:tc>
          <w:tcPr>
            <w:tcW w:w="7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Offered</w:t>
            </w:r>
          </w:p>
        </w:tc>
        <w:tc>
          <w:tcPr>
            <w:tcW w:w="980" w:type="dxa"/>
            <w:vAlign w:val="bottom"/>
          </w:tcPr>
          <w:p>
            <w:pPr>
              <w:jc w:val="center"/>
              <w:ind w:left="8"/>
              <w:spacing w:after="0" w:line="148" w:lineRule="exact"/>
              <w:rPr>
                <w:sz w:val="20"/>
                <w:szCs w:val="20"/>
                <w:color w:val="auto"/>
              </w:rPr>
            </w:pPr>
            <w:r>
              <w:rPr>
                <w:rFonts w:ascii="Arial" w:cs="Arial" w:eastAsia="Arial" w:hAnsi="Arial"/>
                <w:sz w:val="14"/>
                <w:szCs w:val="14"/>
                <w:b w:val="1"/>
                <w:bCs w:val="1"/>
                <w:color w:val="auto"/>
              </w:rPr>
              <w:t>the</w:t>
            </w:r>
          </w:p>
        </w:tc>
        <w:tc>
          <w:tcPr>
            <w:tcW w:w="8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the</w:t>
            </w:r>
          </w:p>
        </w:tc>
      </w:tr>
      <w:tr>
        <w:trPr>
          <w:trHeight w:val="310"/>
        </w:trPr>
        <w:tc>
          <w:tcPr>
            <w:tcW w:w="3920" w:type="dxa"/>
            <w:vAlign w:val="bottom"/>
          </w:tcPr>
          <w:p>
            <w:pPr>
              <w:spacing w:after="0"/>
              <w:rPr>
                <w:sz w:val="20"/>
                <w:szCs w:val="20"/>
                <w:color w:val="auto"/>
              </w:rPr>
            </w:pPr>
            <w:r>
              <w:rPr>
                <w:rFonts w:ascii="Arial" w:cs="Arial" w:eastAsia="Arial" w:hAnsi="Arial"/>
                <w:sz w:val="14"/>
                <w:szCs w:val="14"/>
                <w:b w:val="1"/>
                <w:bCs w:val="1"/>
                <w:color w:val="auto"/>
              </w:rPr>
              <w:t>Selling Shareholder</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Offering</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Offering*</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Hereby</w:t>
            </w:r>
          </w:p>
        </w:tc>
        <w:tc>
          <w:tcPr>
            <w:tcW w:w="980" w:type="dxa"/>
            <w:vAlign w:val="bottom"/>
          </w:tcPr>
          <w:p>
            <w:pPr>
              <w:jc w:val="center"/>
              <w:ind w:left="8"/>
              <w:spacing w:after="0"/>
              <w:rPr>
                <w:sz w:val="20"/>
                <w:szCs w:val="20"/>
                <w:color w:val="auto"/>
              </w:rPr>
            </w:pPr>
            <w:r>
              <w:rPr>
                <w:rFonts w:ascii="Arial" w:cs="Arial" w:eastAsia="Arial" w:hAnsi="Arial"/>
                <w:sz w:val="14"/>
                <w:szCs w:val="14"/>
                <w:b w:val="1"/>
                <w:bCs w:val="1"/>
                <w:color w:val="auto"/>
                <w:w w:val="98"/>
              </w:rPr>
              <w:t>Offering</w:t>
            </w:r>
            <w:r>
              <w:rPr>
                <w:rFonts w:ascii="Arial" w:cs="Arial" w:eastAsia="Arial" w:hAnsi="Arial"/>
                <w:sz w:val="23"/>
                <w:szCs w:val="23"/>
                <w:b w:val="1"/>
                <w:bCs w:val="1"/>
                <w:color w:val="auto"/>
                <w:w w:val="98"/>
                <w:vertAlign w:val="superscript"/>
              </w:rPr>
              <w: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9"/>
              </w:rPr>
              <w:t>Offering*</w:t>
            </w:r>
            <w:r>
              <w:rPr>
                <w:rFonts w:ascii="Arial" w:cs="Arial" w:eastAsia="Arial" w:hAnsi="Arial"/>
                <w:sz w:val="23"/>
                <w:szCs w:val="23"/>
                <w:b w:val="1"/>
                <w:bCs w:val="1"/>
                <w:color w:val="auto"/>
                <w:w w:val="99"/>
                <w:vertAlign w:val="superscript"/>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-33020</wp:posOffset>
            </wp:positionV>
            <wp:extent cx="5349240" cy="2057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349240" cy="20574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ind w:left="300"/>
        <w:spacing w:after="0" w:line="213" w:lineRule="auto"/>
        <w:rPr>
          <w:sz w:val="20"/>
          <w:szCs w:val="20"/>
          <w:color w:val="auto"/>
        </w:rPr>
      </w:pPr>
      <w:r>
        <w:rPr>
          <w:rFonts w:ascii="Arial" w:cs="Arial" w:eastAsia="Arial" w:hAnsi="Arial"/>
          <w:sz w:val="18"/>
          <w:szCs w:val="18"/>
          <w:color w:val="auto"/>
        </w:rPr>
        <w:t>Aristeia Capital, L.L.C.</w:t>
      </w:r>
      <w:r>
        <w:rPr>
          <w:rFonts w:ascii="Arial" w:cs="Arial" w:eastAsia="Arial" w:hAnsi="Arial"/>
          <w:sz w:val="29"/>
          <w:szCs w:val="29"/>
          <w:color w:val="auto"/>
          <w:vertAlign w:val="superscript"/>
        </w:rPr>
        <w:t>1</w:t>
      </w:r>
    </w:p>
    <w:p>
      <w:pPr>
        <w:ind w:left="300"/>
        <w:spacing w:after="0" w:line="204" w:lineRule="auto"/>
        <w:rPr>
          <w:sz w:val="20"/>
          <w:szCs w:val="20"/>
          <w:color w:val="auto"/>
        </w:rPr>
      </w:pPr>
      <w:r>
        <w:rPr>
          <w:rFonts w:ascii="Arial" w:cs="Arial" w:eastAsia="Arial" w:hAnsi="Arial"/>
          <w:sz w:val="18"/>
          <w:szCs w:val="18"/>
          <w:color w:val="auto"/>
        </w:rPr>
        <w:t>Riverview Group LLC</w:t>
      </w:r>
      <w:r>
        <w:rPr>
          <w:rFonts w:ascii="Arial" w:cs="Arial" w:eastAsia="Arial" w:hAnsi="Arial"/>
          <w:sz w:val="29"/>
          <w:szCs w:val="29"/>
          <w:color w:val="auto"/>
          <w:vertAlign w:val="superscript"/>
        </w:rPr>
        <w:t>2</w:t>
      </w:r>
    </w:p>
    <w:p>
      <w:pPr>
        <w:ind w:left="300"/>
        <w:spacing w:after="0" w:line="204" w:lineRule="auto"/>
        <w:rPr>
          <w:sz w:val="20"/>
          <w:szCs w:val="20"/>
          <w:color w:val="auto"/>
        </w:rPr>
      </w:pPr>
      <w:r>
        <w:rPr>
          <w:rFonts w:ascii="Arial" w:cs="Arial" w:eastAsia="Arial" w:hAnsi="Arial"/>
          <w:sz w:val="18"/>
          <w:szCs w:val="18"/>
          <w:color w:val="auto"/>
        </w:rPr>
        <w:t>DCIG Capital Master Fund LP</w:t>
      </w:r>
      <w:r>
        <w:rPr>
          <w:rFonts w:ascii="Arial" w:cs="Arial" w:eastAsia="Arial" w:hAnsi="Arial"/>
          <w:sz w:val="29"/>
          <w:szCs w:val="29"/>
          <w:color w:val="auto"/>
          <w:vertAlign w:val="superscript"/>
        </w:rPr>
        <w:t>3</w:t>
      </w:r>
    </w:p>
    <w:p>
      <w:pPr>
        <w:ind w:left="300"/>
        <w:spacing w:after="0" w:line="214" w:lineRule="auto"/>
        <w:rPr>
          <w:sz w:val="20"/>
          <w:szCs w:val="20"/>
          <w:color w:val="auto"/>
        </w:rPr>
      </w:pPr>
      <w:r>
        <w:rPr>
          <w:rFonts w:ascii="Arial" w:cs="Arial" w:eastAsia="Arial" w:hAnsi="Arial"/>
          <w:sz w:val="18"/>
          <w:szCs w:val="18"/>
          <w:color w:val="auto"/>
        </w:rPr>
        <w:t>Verition Multi-Strategy Master Fund LTD</w:t>
      </w:r>
      <w:r>
        <w:rPr>
          <w:rFonts w:ascii="Arial" w:cs="Arial" w:eastAsia="Arial" w:hAnsi="Arial"/>
          <w:sz w:val="29"/>
          <w:szCs w:val="29"/>
          <w:color w:val="auto"/>
          <w:vertAlign w:val="superscript"/>
        </w:rPr>
        <w:t>3</w:t>
      </w:r>
    </w:p>
    <w:p>
      <w:pPr>
        <w:ind w:left="300"/>
        <w:spacing w:after="0" w:line="214" w:lineRule="auto"/>
        <w:rPr>
          <w:sz w:val="20"/>
          <w:szCs w:val="20"/>
          <w:color w:val="auto"/>
        </w:rPr>
      </w:pPr>
      <w:r>
        <w:rPr>
          <w:rFonts w:ascii="Arial" w:cs="Arial" w:eastAsia="Arial" w:hAnsi="Arial"/>
          <w:sz w:val="18"/>
          <w:szCs w:val="18"/>
          <w:color w:val="auto"/>
        </w:rPr>
        <w:t>DS Liquid DIV RVA SCM, LLC</w:t>
      </w:r>
      <w:r>
        <w:rPr>
          <w:rFonts w:ascii="Arial" w:cs="Arial" w:eastAsia="Arial" w:hAnsi="Arial"/>
          <w:sz w:val="29"/>
          <w:szCs w:val="29"/>
          <w:color w:val="auto"/>
          <w:vertAlign w:val="superscript"/>
        </w:rPr>
        <w:t>4</w:t>
      </w:r>
    </w:p>
    <w:p>
      <w:pPr>
        <w:ind w:left="480" w:hanging="179"/>
        <w:spacing w:after="0" w:line="215" w:lineRule="auto"/>
        <w:rPr>
          <w:sz w:val="20"/>
          <w:szCs w:val="20"/>
          <w:color w:val="auto"/>
        </w:rPr>
      </w:pPr>
      <w:r>
        <w:rPr>
          <w:rFonts w:ascii="Arial" w:cs="Arial" w:eastAsia="Arial" w:hAnsi="Arial"/>
          <w:sz w:val="18"/>
          <w:szCs w:val="18"/>
          <w:color w:val="auto"/>
        </w:rPr>
        <w:t>MAP 214 Segregated Portfolio, a segregated portfolio of LMA SPC</w:t>
      </w:r>
      <w:r>
        <w:rPr>
          <w:rFonts w:ascii="Arial" w:cs="Arial" w:eastAsia="Arial" w:hAnsi="Arial"/>
          <w:sz w:val="29"/>
          <w:szCs w:val="29"/>
          <w:color w:val="auto"/>
          <w:vertAlign w:val="superscript"/>
        </w:rPr>
        <w:t>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40" w:type="dxa"/>
            <w:vAlign w:val="bottom"/>
          </w:tcPr>
          <w:p>
            <w:pPr>
              <w:spacing w:after="0"/>
              <w:rPr>
                <w:sz w:val="20"/>
                <w:szCs w:val="20"/>
                <w:color w:val="auto"/>
              </w:rPr>
            </w:pPr>
            <w:r>
              <w:rPr>
                <w:rFonts w:ascii="Arial" w:cs="Arial" w:eastAsia="Arial" w:hAnsi="Arial"/>
                <w:sz w:val="4"/>
                <w:szCs w:val="4"/>
                <w:color w:val="auto"/>
              </w:rPr>
              <w:t>​   ​</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2,447,552</w:t>
            </w:r>
            <w:r>
              <w:rPr>
                <w:rFonts w:ascii="Arial" w:cs="Arial" w:eastAsia="Arial" w:hAnsi="Arial"/>
                <w:sz w:val="3"/>
                <w:szCs w:val="3"/>
                <w:color w:val="auto"/>
              </w:rPr>
              <w:t>​   ​</w:t>
            </w:r>
          </w:p>
        </w:tc>
        <w:tc>
          <w:tcPr>
            <w:tcW w:w="860" w:type="dxa"/>
            <w:vAlign w:val="bottom"/>
          </w:tcPr>
          <w:p>
            <w:pPr>
              <w:ind w:left="140"/>
              <w:spacing w:after="0"/>
              <w:rPr>
                <w:sz w:val="20"/>
                <w:szCs w:val="20"/>
                <w:color w:val="auto"/>
              </w:rPr>
            </w:pPr>
            <w:r>
              <w:rPr>
                <w:rFonts w:ascii="Arial" w:cs="Arial" w:eastAsia="Arial" w:hAnsi="Arial"/>
                <w:sz w:val="18"/>
                <w:szCs w:val="18"/>
                <w:color w:val="auto"/>
              </w:rPr>
              <w:t xml:space="preserve">0.37% </w:t>
            </w:r>
            <w:r>
              <w:rPr>
                <w:rFonts w:ascii="Arial" w:cs="Arial" w:eastAsia="Arial" w:hAnsi="Arial"/>
                <w:sz w:val="3"/>
                <w:szCs w:val="3"/>
                <w:color w:val="auto"/>
              </w:rPr>
              <w:t>​   ​</w:t>
            </w:r>
          </w:p>
        </w:tc>
        <w:tc>
          <w:tcPr>
            <w:tcW w:w="1220" w:type="dxa"/>
            <w:vAlign w:val="bottom"/>
          </w:tcPr>
          <w:p>
            <w:pPr>
              <w:jc w:val="right"/>
              <w:ind w:right="190"/>
              <w:spacing w:after="0"/>
              <w:rPr>
                <w:sz w:val="20"/>
                <w:szCs w:val="20"/>
                <w:color w:val="auto"/>
              </w:rPr>
            </w:pPr>
            <w:r>
              <w:rPr>
                <w:rFonts w:ascii="Arial" w:cs="Arial" w:eastAsia="Arial" w:hAnsi="Arial"/>
                <w:sz w:val="18"/>
                <w:szCs w:val="18"/>
                <w:color w:val="auto"/>
              </w:rPr>
              <w:t>2,447,552</w:t>
            </w:r>
            <w:r>
              <w:rPr>
                <w:rFonts w:ascii="Arial" w:cs="Arial" w:eastAsia="Arial" w:hAnsi="Arial"/>
                <w:sz w:val="3"/>
                <w:szCs w:val="3"/>
                <w:color w:val="auto"/>
              </w:rPr>
              <w:t>​   ​</w:t>
            </w:r>
          </w:p>
        </w:tc>
        <w:tc>
          <w:tcPr>
            <w:tcW w:w="660" w:type="dxa"/>
            <w:vAlign w:val="bottom"/>
          </w:tcPr>
          <w:p>
            <w:pPr>
              <w:ind w:left="300"/>
              <w:spacing w:after="0"/>
              <w:rPr>
                <w:sz w:val="20"/>
                <w:szCs w:val="20"/>
                <w:color w:val="auto"/>
              </w:rPr>
            </w:pPr>
            <w:r>
              <w:rPr>
                <w:rFonts w:ascii="Arial" w:cs="Arial" w:eastAsia="Arial" w:hAnsi="Arial"/>
                <w:sz w:val="18"/>
                <w:szCs w:val="18"/>
                <w:color w:val="auto"/>
              </w:rPr>
              <w:t xml:space="preserve">0 </w:t>
            </w:r>
            <w:r>
              <w:rPr>
                <w:rFonts w:ascii="Arial" w:cs="Arial" w:eastAsia="Arial" w:hAnsi="Arial"/>
                <w:sz w:val="3"/>
                <w:szCs w:val="3"/>
                <w:color w:val="auto"/>
              </w:rPr>
              <w:t>​   ​</w:t>
            </w:r>
          </w:p>
        </w:tc>
        <w:tc>
          <w:tcPr>
            <w:tcW w:w="64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297"/>
        </w:trPr>
        <w:tc>
          <w:tcPr>
            <w:tcW w:w="140" w:type="dxa"/>
            <w:vAlign w:val="bottom"/>
          </w:tcPr>
          <w:p>
            <w:pPr>
              <w:spacing w:after="0"/>
              <w:rPr>
                <w:sz w:val="20"/>
                <w:szCs w:val="20"/>
                <w:color w:val="auto"/>
              </w:rPr>
            </w:pPr>
            <w:r>
              <w:rPr>
                <w:rFonts w:ascii="Arial" w:cs="Arial" w:eastAsia="Arial" w:hAnsi="Arial"/>
                <w:sz w:val="4"/>
                <w:szCs w:val="4"/>
                <w:color w:val="auto"/>
              </w:rPr>
              <w:t>​   ​</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2,937,062</w:t>
            </w:r>
            <w:r>
              <w:rPr>
                <w:rFonts w:ascii="Arial" w:cs="Arial" w:eastAsia="Arial" w:hAnsi="Arial"/>
                <w:sz w:val="3"/>
                <w:szCs w:val="3"/>
                <w:color w:val="auto"/>
              </w:rPr>
              <w:t>​   ​</w:t>
            </w:r>
          </w:p>
        </w:tc>
        <w:tc>
          <w:tcPr>
            <w:tcW w:w="860" w:type="dxa"/>
            <w:vAlign w:val="bottom"/>
          </w:tcPr>
          <w:p>
            <w:pPr>
              <w:ind w:left="140"/>
              <w:spacing w:after="0"/>
              <w:rPr>
                <w:sz w:val="20"/>
                <w:szCs w:val="20"/>
                <w:color w:val="auto"/>
              </w:rPr>
            </w:pPr>
            <w:r>
              <w:rPr>
                <w:rFonts w:ascii="Arial" w:cs="Arial" w:eastAsia="Arial" w:hAnsi="Arial"/>
                <w:sz w:val="18"/>
                <w:szCs w:val="18"/>
                <w:color w:val="auto"/>
              </w:rPr>
              <w:t xml:space="preserve">0.45% </w:t>
            </w:r>
            <w:r>
              <w:rPr>
                <w:rFonts w:ascii="Arial" w:cs="Arial" w:eastAsia="Arial" w:hAnsi="Arial"/>
                <w:sz w:val="3"/>
                <w:szCs w:val="3"/>
                <w:color w:val="auto"/>
              </w:rPr>
              <w:t>​   ​</w:t>
            </w:r>
          </w:p>
        </w:tc>
        <w:tc>
          <w:tcPr>
            <w:tcW w:w="1220" w:type="dxa"/>
            <w:vAlign w:val="bottom"/>
          </w:tcPr>
          <w:p>
            <w:pPr>
              <w:jc w:val="right"/>
              <w:ind w:right="190"/>
              <w:spacing w:after="0"/>
              <w:rPr>
                <w:sz w:val="20"/>
                <w:szCs w:val="20"/>
                <w:color w:val="auto"/>
              </w:rPr>
            </w:pPr>
            <w:r>
              <w:rPr>
                <w:rFonts w:ascii="Arial" w:cs="Arial" w:eastAsia="Arial" w:hAnsi="Arial"/>
                <w:sz w:val="18"/>
                <w:szCs w:val="18"/>
                <w:color w:val="auto"/>
              </w:rPr>
              <w:t>2,937,062</w:t>
            </w:r>
            <w:r>
              <w:rPr>
                <w:rFonts w:ascii="Arial" w:cs="Arial" w:eastAsia="Arial" w:hAnsi="Arial"/>
                <w:sz w:val="3"/>
                <w:szCs w:val="3"/>
                <w:color w:val="auto"/>
              </w:rPr>
              <w:t>​   ​</w:t>
            </w:r>
          </w:p>
        </w:tc>
        <w:tc>
          <w:tcPr>
            <w:tcW w:w="660" w:type="dxa"/>
            <w:vAlign w:val="bottom"/>
          </w:tcPr>
          <w:p>
            <w:pPr>
              <w:ind w:left="300"/>
              <w:spacing w:after="0"/>
              <w:rPr>
                <w:sz w:val="20"/>
                <w:szCs w:val="20"/>
                <w:color w:val="auto"/>
              </w:rPr>
            </w:pPr>
            <w:r>
              <w:rPr>
                <w:rFonts w:ascii="Arial" w:cs="Arial" w:eastAsia="Arial" w:hAnsi="Arial"/>
                <w:sz w:val="18"/>
                <w:szCs w:val="18"/>
                <w:color w:val="auto"/>
              </w:rPr>
              <w:t xml:space="preserve">0 </w:t>
            </w:r>
            <w:r>
              <w:rPr>
                <w:rFonts w:ascii="Arial" w:cs="Arial" w:eastAsia="Arial" w:hAnsi="Arial"/>
                <w:sz w:val="3"/>
                <w:szCs w:val="3"/>
                <w:color w:val="auto"/>
              </w:rPr>
              <w:t>​   ​</w:t>
            </w:r>
          </w:p>
        </w:tc>
        <w:tc>
          <w:tcPr>
            <w:tcW w:w="64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283"/>
        </w:trPr>
        <w:tc>
          <w:tcPr>
            <w:tcW w:w="140" w:type="dxa"/>
            <w:vAlign w:val="bottom"/>
          </w:tcPr>
          <w:p>
            <w:pPr>
              <w:spacing w:after="0"/>
              <w:rPr>
                <w:sz w:val="20"/>
                <w:szCs w:val="20"/>
                <w:color w:val="auto"/>
              </w:rPr>
            </w:pPr>
            <w:r>
              <w:rPr>
                <w:rFonts w:ascii="Arial" w:cs="Arial" w:eastAsia="Arial" w:hAnsi="Arial"/>
                <w:sz w:val="4"/>
                <w:szCs w:val="4"/>
                <w:color w:val="auto"/>
              </w:rPr>
              <w:t>​   ​</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1,645,734</w:t>
            </w:r>
            <w:r>
              <w:rPr>
                <w:rFonts w:ascii="Arial" w:cs="Arial" w:eastAsia="Arial" w:hAnsi="Arial"/>
                <w:sz w:val="3"/>
                <w:szCs w:val="3"/>
                <w:color w:val="auto"/>
              </w:rPr>
              <w:t>​   ​</w:t>
            </w:r>
          </w:p>
        </w:tc>
        <w:tc>
          <w:tcPr>
            <w:tcW w:w="860" w:type="dxa"/>
            <w:vAlign w:val="bottom"/>
          </w:tcPr>
          <w:p>
            <w:pPr>
              <w:ind w:left="140"/>
              <w:spacing w:after="0"/>
              <w:rPr>
                <w:sz w:val="20"/>
                <w:szCs w:val="20"/>
                <w:color w:val="auto"/>
              </w:rPr>
            </w:pPr>
            <w:r>
              <w:rPr>
                <w:rFonts w:ascii="Arial" w:cs="Arial" w:eastAsia="Arial" w:hAnsi="Arial"/>
                <w:sz w:val="18"/>
                <w:szCs w:val="18"/>
                <w:color w:val="auto"/>
              </w:rPr>
              <w:t xml:space="preserve">0.25% </w:t>
            </w:r>
            <w:r>
              <w:rPr>
                <w:rFonts w:ascii="Arial" w:cs="Arial" w:eastAsia="Arial" w:hAnsi="Arial"/>
                <w:sz w:val="3"/>
                <w:szCs w:val="3"/>
                <w:color w:val="auto"/>
              </w:rPr>
              <w:t>​   ​</w:t>
            </w:r>
          </w:p>
        </w:tc>
        <w:tc>
          <w:tcPr>
            <w:tcW w:w="1220" w:type="dxa"/>
            <w:vAlign w:val="bottom"/>
          </w:tcPr>
          <w:p>
            <w:pPr>
              <w:jc w:val="right"/>
              <w:ind w:right="190"/>
              <w:spacing w:after="0"/>
              <w:rPr>
                <w:sz w:val="20"/>
                <w:szCs w:val="20"/>
                <w:color w:val="auto"/>
              </w:rPr>
            </w:pPr>
            <w:r>
              <w:rPr>
                <w:rFonts w:ascii="Arial" w:cs="Arial" w:eastAsia="Arial" w:hAnsi="Arial"/>
                <w:sz w:val="18"/>
                <w:szCs w:val="18"/>
                <w:color w:val="auto"/>
              </w:rPr>
              <w:t>1,645,734</w:t>
            </w:r>
            <w:r>
              <w:rPr>
                <w:rFonts w:ascii="Arial" w:cs="Arial" w:eastAsia="Arial" w:hAnsi="Arial"/>
                <w:sz w:val="3"/>
                <w:szCs w:val="3"/>
                <w:color w:val="auto"/>
              </w:rPr>
              <w:t>​   ​</w:t>
            </w:r>
          </w:p>
        </w:tc>
        <w:tc>
          <w:tcPr>
            <w:tcW w:w="660" w:type="dxa"/>
            <w:vAlign w:val="bottom"/>
          </w:tcPr>
          <w:p>
            <w:pPr>
              <w:ind w:left="300"/>
              <w:spacing w:after="0"/>
              <w:rPr>
                <w:sz w:val="20"/>
                <w:szCs w:val="20"/>
                <w:color w:val="auto"/>
              </w:rPr>
            </w:pPr>
            <w:r>
              <w:rPr>
                <w:rFonts w:ascii="Arial" w:cs="Arial" w:eastAsia="Arial" w:hAnsi="Arial"/>
                <w:sz w:val="18"/>
                <w:szCs w:val="18"/>
                <w:color w:val="auto"/>
              </w:rPr>
              <w:t xml:space="preserve">0 </w:t>
            </w:r>
            <w:r>
              <w:rPr>
                <w:rFonts w:ascii="Arial" w:cs="Arial" w:eastAsia="Arial" w:hAnsi="Arial"/>
                <w:sz w:val="3"/>
                <w:szCs w:val="3"/>
                <w:color w:val="auto"/>
              </w:rPr>
              <w:t>​   ​</w:t>
            </w:r>
          </w:p>
        </w:tc>
        <w:tc>
          <w:tcPr>
            <w:tcW w:w="64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284"/>
        </w:trPr>
        <w:tc>
          <w:tcPr>
            <w:tcW w:w="140" w:type="dxa"/>
            <w:vAlign w:val="bottom"/>
          </w:tcPr>
          <w:p>
            <w:pPr>
              <w:spacing w:after="0"/>
              <w:rPr>
                <w:sz w:val="20"/>
                <w:szCs w:val="20"/>
                <w:color w:val="auto"/>
              </w:rPr>
            </w:pPr>
            <w:r>
              <w:rPr>
                <w:rFonts w:ascii="Arial" w:cs="Arial" w:eastAsia="Arial" w:hAnsi="Arial"/>
                <w:sz w:val="4"/>
                <w:szCs w:val="4"/>
                <w:color w:val="auto"/>
              </w:rPr>
              <w:t>​   ​</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801,818</w:t>
            </w:r>
            <w:r>
              <w:rPr>
                <w:rFonts w:ascii="Arial" w:cs="Arial" w:eastAsia="Arial" w:hAnsi="Arial"/>
                <w:sz w:val="3"/>
                <w:szCs w:val="3"/>
                <w:color w:val="auto"/>
              </w:rPr>
              <w:t>​   ​</w:t>
            </w:r>
          </w:p>
        </w:tc>
        <w:tc>
          <w:tcPr>
            <w:tcW w:w="860" w:type="dxa"/>
            <w:vAlign w:val="bottom"/>
          </w:tcPr>
          <w:p>
            <w:pPr>
              <w:ind w:left="140"/>
              <w:spacing w:after="0"/>
              <w:rPr>
                <w:sz w:val="20"/>
                <w:szCs w:val="20"/>
                <w:color w:val="auto"/>
              </w:rPr>
            </w:pPr>
            <w:r>
              <w:rPr>
                <w:rFonts w:ascii="Arial" w:cs="Arial" w:eastAsia="Arial" w:hAnsi="Arial"/>
                <w:sz w:val="18"/>
                <w:szCs w:val="18"/>
                <w:color w:val="auto"/>
              </w:rPr>
              <w:t xml:space="preserve">0.12% </w:t>
            </w:r>
            <w:r>
              <w:rPr>
                <w:rFonts w:ascii="Arial" w:cs="Arial" w:eastAsia="Arial" w:hAnsi="Arial"/>
                <w:sz w:val="3"/>
                <w:szCs w:val="3"/>
                <w:color w:val="auto"/>
              </w:rPr>
              <w:t>​   ​</w:t>
            </w:r>
          </w:p>
        </w:tc>
        <w:tc>
          <w:tcPr>
            <w:tcW w:w="1220" w:type="dxa"/>
            <w:vAlign w:val="bottom"/>
          </w:tcPr>
          <w:p>
            <w:pPr>
              <w:jc w:val="right"/>
              <w:ind w:right="190"/>
              <w:spacing w:after="0"/>
              <w:rPr>
                <w:sz w:val="20"/>
                <w:szCs w:val="20"/>
                <w:color w:val="auto"/>
              </w:rPr>
            </w:pPr>
            <w:r>
              <w:rPr>
                <w:rFonts w:ascii="Arial" w:cs="Arial" w:eastAsia="Arial" w:hAnsi="Arial"/>
                <w:sz w:val="18"/>
                <w:szCs w:val="18"/>
                <w:color w:val="auto"/>
              </w:rPr>
              <w:t>801,818</w:t>
            </w:r>
            <w:r>
              <w:rPr>
                <w:rFonts w:ascii="Arial" w:cs="Arial" w:eastAsia="Arial" w:hAnsi="Arial"/>
                <w:sz w:val="3"/>
                <w:szCs w:val="3"/>
                <w:color w:val="auto"/>
              </w:rPr>
              <w:t>​   ​</w:t>
            </w:r>
          </w:p>
        </w:tc>
        <w:tc>
          <w:tcPr>
            <w:tcW w:w="660" w:type="dxa"/>
            <w:vAlign w:val="bottom"/>
          </w:tcPr>
          <w:p>
            <w:pPr>
              <w:ind w:left="300"/>
              <w:spacing w:after="0"/>
              <w:rPr>
                <w:sz w:val="20"/>
                <w:szCs w:val="20"/>
                <w:color w:val="auto"/>
              </w:rPr>
            </w:pPr>
            <w:r>
              <w:rPr>
                <w:rFonts w:ascii="Arial" w:cs="Arial" w:eastAsia="Arial" w:hAnsi="Arial"/>
                <w:sz w:val="18"/>
                <w:szCs w:val="18"/>
                <w:color w:val="auto"/>
              </w:rPr>
              <w:t xml:space="preserve">0 </w:t>
            </w:r>
            <w:r>
              <w:rPr>
                <w:rFonts w:ascii="Arial" w:cs="Arial" w:eastAsia="Arial" w:hAnsi="Arial"/>
                <w:sz w:val="3"/>
                <w:szCs w:val="3"/>
                <w:color w:val="auto"/>
              </w:rPr>
              <w:t>​   ​</w:t>
            </w:r>
          </w:p>
        </w:tc>
        <w:tc>
          <w:tcPr>
            <w:tcW w:w="64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297"/>
        </w:trPr>
        <w:tc>
          <w:tcPr>
            <w:tcW w:w="140" w:type="dxa"/>
            <w:vAlign w:val="bottom"/>
          </w:tcPr>
          <w:p>
            <w:pPr>
              <w:spacing w:after="0"/>
              <w:rPr>
                <w:sz w:val="20"/>
                <w:szCs w:val="20"/>
                <w:color w:val="auto"/>
              </w:rPr>
            </w:pPr>
            <w:r>
              <w:rPr>
                <w:rFonts w:ascii="Arial" w:cs="Arial" w:eastAsia="Arial" w:hAnsi="Arial"/>
                <w:sz w:val="4"/>
                <w:szCs w:val="4"/>
                <w:color w:val="auto"/>
              </w:rPr>
              <w:t>​   ​</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527,814</w:t>
            </w:r>
            <w:r>
              <w:rPr>
                <w:rFonts w:ascii="Arial" w:cs="Arial" w:eastAsia="Arial" w:hAnsi="Arial"/>
                <w:sz w:val="3"/>
                <w:szCs w:val="3"/>
                <w:color w:val="auto"/>
              </w:rPr>
              <w:t>​   ​</w:t>
            </w:r>
          </w:p>
        </w:tc>
        <w:tc>
          <w:tcPr>
            <w:tcW w:w="860" w:type="dxa"/>
            <w:vAlign w:val="bottom"/>
          </w:tcPr>
          <w:p>
            <w:pPr>
              <w:ind w:left="140"/>
              <w:spacing w:after="0"/>
              <w:rPr>
                <w:sz w:val="20"/>
                <w:szCs w:val="20"/>
                <w:color w:val="auto"/>
              </w:rPr>
            </w:pPr>
            <w:r>
              <w:rPr>
                <w:rFonts w:ascii="Arial" w:cs="Arial" w:eastAsia="Arial" w:hAnsi="Arial"/>
                <w:sz w:val="18"/>
                <w:szCs w:val="18"/>
                <w:color w:val="auto"/>
              </w:rPr>
              <w:t xml:space="preserve">0.08% </w:t>
            </w:r>
            <w:r>
              <w:rPr>
                <w:rFonts w:ascii="Arial" w:cs="Arial" w:eastAsia="Arial" w:hAnsi="Arial"/>
                <w:sz w:val="3"/>
                <w:szCs w:val="3"/>
                <w:color w:val="auto"/>
              </w:rPr>
              <w:t>​   ​</w:t>
            </w:r>
          </w:p>
        </w:tc>
        <w:tc>
          <w:tcPr>
            <w:tcW w:w="1220" w:type="dxa"/>
            <w:vAlign w:val="bottom"/>
          </w:tcPr>
          <w:p>
            <w:pPr>
              <w:jc w:val="right"/>
              <w:ind w:right="190"/>
              <w:spacing w:after="0"/>
              <w:rPr>
                <w:sz w:val="20"/>
                <w:szCs w:val="20"/>
                <w:color w:val="auto"/>
              </w:rPr>
            </w:pPr>
            <w:r>
              <w:rPr>
                <w:rFonts w:ascii="Arial" w:cs="Arial" w:eastAsia="Arial" w:hAnsi="Arial"/>
                <w:sz w:val="18"/>
                <w:szCs w:val="18"/>
                <w:color w:val="auto"/>
              </w:rPr>
              <w:t>527,814</w:t>
            </w:r>
            <w:r>
              <w:rPr>
                <w:rFonts w:ascii="Arial" w:cs="Arial" w:eastAsia="Arial" w:hAnsi="Arial"/>
                <w:sz w:val="3"/>
                <w:szCs w:val="3"/>
                <w:color w:val="auto"/>
              </w:rPr>
              <w:t>​   ​</w:t>
            </w:r>
          </w:p>
        </w:tc>
        <w:tc>
          <w:tcPr>
            <w:tcW w:w="660" w:type="dxa"/>
            <w:vAlign w:val="bottom"/>
          </w:tcPr>
          <w:p>
            <w:pPr>
              <w:ind w:left="300"/>
              <w:spacing w:after="0"/>
              <w:rPr>
                <w:sz w:val="20"/>
                <w:szCs w:val="20"/>
                <w:color w:val="auto"/>
              </w:rPr>
            </w:pPr>
            <w:r>
              <w:rPr>
                <w:rFonts w:ascii="Arial" w:cs="Arial" w:eastAsia="Arial" w:hAnsi="Arial"/>
                <w:sz w:val="18"/>
                <w:szCs w:val="18"/>
                <w:color w:val="auto"/>
              </w:rPr>
              <w:t xml:space="preserve">0 </w:t>
            </w:r>
            <w:r>
              <w:rPr>
                <w:rFonts w:ascii="Arial" w:cs="Arial" w:eastAsia="Arial" w:hAnsi="Arial"/>
                <w:sz w:val="3"/>
                <w:szCs w:val="3"/>
                <w:color w:val="auto"/>
              </w:rPr>
              <w:t>​   ​</w:t>
            </w:r>
          </w:p>
        </w:tc>
        <w:tc>
          <w:tcPr>
            <w:tcW w:w="64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486"/>
        </w:trPr>
        <w:tc>
          <w:tcPr>
            <w:tcW w:w="140" w:type="dxa"/>
            <w:vAlign w:val="bottom"/>
          </w:tcPr>
          <w:p>
            <w:pPr>
              <w:spacing w:after="0"/>
              <w:rPr>
                <w:sz w:val="20"/>
                <w:szCs w:val="20"/>
                <w:color w:val="auto"/>
              </w:rPr>
            </w:pPr>
            <w:r>
              <w:rPr>
                <w:rFonts w:ascii="Arial" w:cs="Arial" w:eastAsia="Arial" w:hAnsi="Arial"/>
                <w:sz w:val="4"/>
                <w:szCs w:val="4"/>
                <w:color w:val="auto"/>
              </w:rPr>
              <w:t>​   ​</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451,083</w:t>
            </w:r>
            <w:r>
              <w:rPr>
                <w:rFonts w:ascii="Arial" w:cs="Arial" w:eastAsia="Arial" w:hAnsi="Arial"/>
                <w:sz w:val="7"/>
                <w:szCs w:val="7"/>
                <w:color w:val="auto"/>
                <w:vertAlign w:val="superscript"/>
              </w:rPr>
              <w:t>​   ​</w:t>
            </w:r>
          </w:p>
        </w:tc>
        <w:tc>
          <w:tcPr>
            <w:tcW w:w="860" w:type="dxa"/>
            <w:vAlign w:val="bottom"/>
          </w:tcPr>
          <w:p>
            <w:pPr>
              <w:ind w:left="140"/>
              <w:spacing w:after="0"/>
              <w:rPr>
                <w:sz w:val="20"/>
                <w:szCs w:val="20"/>
                <w:color w:val="auto"/>
              </w:rPr>
            </w:pPr>
            <w:r>
              <w:rPr>
                <w:rFonts w:ascii="Arial" w:cs="Arial" w:eastAsia="Arial" w:hAnsi="Arial"/>
                <w:sz w:val="18"/>
                <w:szCs w:val="18"/>
                <w:color w:val="auto"/>
              </w:rPr>
              <w:t xml:space="preserve">0.07% </w:t>
            </w:r>
            <w:r>
              <w:rPr>
                <w:rFonts w:ascii="Arial" w:cs="Arial" w:eastAsia="Arial" w:hAnsi="Arial"/>
                <w:sz w:val="7"/>
                <w:szCs w:val="7"/>
                <w:color w:val="auto"/>
                <w:vertAlign w:val="superscript"/>
              </w:rPr>
              <w:t>​   ​</w:t>
            </w:r>
          </w:p>
        </w:tc>
        <w:tc>
          <w:tcPr>
            <w:tcW w:w="1220" w:type="dxa"/>
            <w:vAlign w:val="bottom"/>
          </w:tcPr>
          <w:p>
            <w:pPr>
              <w:jc w:val="right"/>
              <w:ind w:right="190"/>
              <w:spacing w:after="0"/>
              <w:rPr>
                <w:sz w:val="20"/>
                <w:szCs w:val="20"/>
                <w:color w:val="auto"/>
              </w:rPr>
            </w:pPr>
            <w:r>
              <w:rPr>
                <w:rFonts w:ascii="Arial" w:cs="Arial" w:eastAsia="Arial" w:hAnsi="Arial"/>
                <w:sz w:val="18"/>
                <w:szCs w:val="18"/>
                <w:color w:val="auto"/>
              </w:rPr>
              <w:t>451,083</w:t>
            </w:r>
            <w:r>
              <w:rPr>
                <w:rFonts w:ascii="Arial" w:cs="Arial" w:eastAsia="Arial" w:hAnsi="Arial"/>
                <w:sz w:val="7"/>
                <w:szCs w:val="7"/>
                <w:color w:val="auto"/>
                <w:vertAlign w:val="superscript"/>
              </w:rPr>
              <w:t>​   ​</w:t>
            </w:r>
          </w:p>
        </w:tc>
        <w:tc>
          <w:tcPr>
            <w:tcW w:w="660" w:type="dxa"/>
            <w:vAlign w:val="bottom"/>
          </w:tcPr>
          <w:p>
            <w:pPr>
              <w:ind w:left="300"/>
              <w:spacing w:after="0"/>
              <w:rPr>
                <w:sz w:val="20"/>
                <w:szCs w:val="20"/>
                <w:color w:val="auto"/>
              </w:rPr>
            </w:pPr>
            <w:r>
              <w:rPr>
                <w:rFonts w:ascii="Arial" w:cs="Arial" w:eastAsia="Arial" w:hAnsi="Arial"/>
                <w:sz w:val="35"/>
                <w:szCs w:val="35"/>
                <w:color w:val="auto"/>
                <w:vertAlign w:val="subscript"/>
              </w:rPr>
              <w:t>0</w:t>
            </w:r>
            <w:r>
              <w:rPr>
                <w:rFonts w:ascii="Arial" w:cs="Arial" w:eastAsia="Arial" w:hAnsi="Arial"/>
                <w:sz w:val="4"/>
                <w:szCs w:val="4"/>
                <w:color w:val="auto"/>
              </w:rPr>
              <w:t xml:space="preserve"> ​   ​</w:t>
            </w:r>
          </w:p>
        </w:tc>
        <w:tc>
          <w:tcPr>
            <w:tcW w:w="640" w:type="dxa"/>
            <w:vAlign w:val="bottom"/>
          </w:tcPr>
          <w:p>
            <w:pPr>
              <w:jc w:val="right"/>
              <w:spacing w:after="0"/>
              <w:rPr>
                <w:sz w:val="20"/>
                <w:szCs w:val="20"/>
                <w:color w:val="auto"/>
              </w:rPr>
            </w:pPr>
            <w:r>
              <w:rPr>
                <w:rFonts w:ascii="Arial" w:cs="Arial" w:eastAsia="Arial" w:hAnsi="Arial"/>
                <w:sz w:val="18"/>
                <w:szCs w:val="18"/>
                <w:color w:val="auto"/>
              </w:rPr>
              <w:t>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-2392045</wp:posOffset>
            </wp:positionH>
            <wp:positionV relativeFrom="paragraph">
              <wp:posOffset>-839470</wp:posOffset>
            </wp:positionV>
            <wp:extent cx="5349240" cy="1803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349240" cy="180340"/>
                    </a:xfrm>
                    <a:prstGeom prst="rect">
                      <a:avLst/>
                    </a:prstGeom>
                    <a:noFill/>
                  </pic:spPr>
                </pic:pic>
              </a:graphicData>
            </a:graphic>
          </wp:anchor>
        </w:drawing>
        <w:drawing>
          <wp:anchor simplePos="0" relativeHeight="251657728" behindDoc="1" locked="0" layoutInCell="0" allowOverlap="1">
            <wp:simplePos x="0" y="0"/>
            <wp:positionH relativeFrom="column">
              <wp:posOffset>-2392045</wp:posOffset>
            </wp:positionH>
            <wp:positionV relativeFrom="paragraph">
              <wp:posOffset>-471170</wp:posOffset>
            </wp:positionV>
            <wp:extent cx="5349240" cy="1797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49240" cy="179705"/>
                    </a:xfrm>
                    <a:prstGeom prst="rect">
                      <a:avLst/>
                    </a:prstGeom>
                    <a:noFill/>
                  </pic:spPr>
                </pic:pic>
              </a:graphicData>
            </a:graphic>
          </wp:anchor>
        </w:drawing>
        <w:drawing>
          <wp:anchor simplePos="0" relativeHeight="251657728" behindDoc="1" locked="0" layoutInCell="0" allowOverlap="1">
            <wp:simplePos x="0" y="0"/>
            <wp:positionH relativeFrom="column">
              <wp:posOffset>-2392045</wp:posOffset>
            </wp:positionH>
            <wp:positionV relativeFrom="paragraph">
              <wp:posOffset>17145</wp:posOffset>
            </wp:positionV>
            <wp:extent cx="5349240" cy="1885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349240" cy="188595"/>
                    </a:xfrm>
                    <a:prstGeom prst="rect">
                      <a:avLst/>
                    </a:prstGeom>
                    <a:noFill/>
                  </pic:spPr>
                </pic:pic>
              </a:graphicData>
            </a:graphic>
          </wp:anchor>
        </w:drawing>
      </w:r>
    </w:p>
    <w:p>
      <w:pPr>
        <w:spacing w:after="0" w:line="65" w:lineRule="exact"/>
        <w:rPr>
          <w:sz w:val="20"/>
          <w:szCs w:val="20"/>
          <w:color w:val="auto"/>
        </w:rPr>
      </w:pPr>
    </w:p>
    <w:p>
      <w:pPr>
        <w:sectPr>
          <w:pgSz w:w="11900" w:h="16838" w:orient="portrait"/>
          <w:cols w:equalWidth="0" w:num="2">
            <w:col w:w="3860" w:space="200"/>
            <w:col w:w="4959"/>
          </w:cols>
          <w:pgMar w:left="1440" w:top="265" w:right="1440" w:bottom="1440" w:gutter="0" w:footer="0" w:header="0"/>
          <w:type w:val="continuous"/>
        </w:sectPr>
      </w:pPr>
    </w:p>
    <w:p>
      <w:pPr>
        <w:ind w:left="300"/>
        <w:spacing w:after="0" w:line="222" w:lineRule="auto"/>
        <w:rPr>
          <w:sz w:val="20"/>
          <w:szCs w:val="20"/>
          <w:color w:val="auto"/>
        </w:rPr>
      </w:pPr>
      <w:r>
        <w:rPr>
          <w:rFonts w:ascii="Arial" w:cs="Arial" w:eastAsia="Arial" w:hAnsi="Arial"/>
          <w:sz w:val="17"/>
          <w:szCs w:val="17"/>
          <w:color w:val="auto"/>
        </w:rPr>
        <w:t>Shaolin Capital Partners Master Fund, Ltd.</w:t>
      </w:r>
      <w:r>
        <w:rPr>
          <w:rFonts w:ascii="Arial" w:cs="Arial" w:eastAsia="Arial" w:hAnsi="Arial"/>
          <w:sz w:val="28"/>
          <w:szCs w:val="28"/>
          <w:color w:val="auto"/>
          <w:vertAlign w:val="superscript"/>
        </w:rPr>
        <w:t>4</w:t>
      </w:r>
    </w:p>
    <w:p>
      <w:pPr>
        <w:spacing w:after="0" w:line="1" w:lineRule="exact"/>
        <w:rPr>
          <w:sz w:val="20"/>
          <w:szCs w:val="20"/>
          <w:color w:val="auto"/>
        </w:rPr>
      </w:pPr>
    </w:p>
    <w:p>
      <w:pPr>
        <w:ind w:left="480" w:right="140" w:hanging="179"/>
        <w:spacing w:after="0" w:line="209" w:lineRule="auto"/>
        <w:rPr>
          <w:sz w:val="20"/>
          <w:szCs w:val="20"/>
          <w:color w:val="auto"/>
        </w:rPr>
      </w:pPr>
      <w:r>
        <w:rPr>
          <w:rFonts w:ascii="Arial" w:cs="Arial" w:eastAsia="Arial" w:hAnsi="Arial"/>
          <w:sz w:val="18"/>
          <w:szCs w:val="18"/>
          <w:color w:val="auto"/>
        </w:rPr>
        <w:t>Shaolin Capital Partners SP, a segregated portfolio of PC MAP SPC</w:t>
      </w:r>
      <w:r>
        <w:rPr>
          <w:rFonts w:ascii="Arial" w:cs="Arial" w:eastAsia="Arial" w:hAnsi="Arial"/>
          <w:sz w:val="29"/>
          <w:szCs w:val="29"/>
          <w:color w:val="auto"/>
          <w:vertAlign w:val="superscript"/>
        </w:rPr>
        <w:t>4</w:t>
      </w:r>
    </w:p>
    <w:p>
      <w:pPr>
        <w:ind w:left="300"/>
        <w:spacing w:after="0" w:line="215" w:lineRule="auto"/>
        <w:rPr>
          <w:sz w:val="20"/>
          <w:szCs w:val="20"/>
          <w:color w:val="auto"/>
        </w:rPr>
      </w:pPr>
      <w:r>
        <w:rPr>
          <w:rFonts w:ascii="Arial" w:cs="Arial" w:eastAsia="Arial" w:hAnsi="Arial"/>
          <w:sz w:val="18"/>
          <w:szCs w:val="18"/>
          <w:color w:val="auto"/>
        </w:rPr>
        <w:t>Sunrise Partners Limited Partnership</w:t>
      </w:r>
      <w:r>
        <w:rPr>
          <w:rFonts w:ascii="Arial" w:cs="Arial" w:eastAsia="Arial" w:hAnsi="Arial"/>
          <w:sz w:val="29"/>
          <w:szCs w:val="29"/>
          <w:color w:val="auto"/>
          <w:vertAlign w:val="superscript"/>
        </w:rPr>
        <w:t>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220" w:type="dxa"/>
            <w:vAlign w:val="bottom"/>
          </w:tcPr>
          <w:p>
            <w:pPr>
              <w:spacing w:after="0"/>
              <w:rPr>
                <w:sz w:val="20"/>
                <w:szCs w:val="20"/>
                <w:color w:val="auto"/>
              </w:rPr>
            </w:pPr>
            <w:r>
              <w:rPr>
                <w:rFonts w:ascii="Arial" w:cs="Arial" w:eastAsia="Arial" w:hAnsi="Arial"/>
                <w:sz w:val="4"/>
                <w:szCs w:val="4"/>
                <w:color w:val="auto"/>
              </w:rPr>
              <w:t>​   ​</w:t>
            </w:r>
          </w:p>
        </w:tc>
        <w:tc>
          <w:tcPr>
            <w:tcW w:w="1000" w:type="dxa"/>
            <w:vAlign w:val="bottom"/>
          </w:tcPr>
          <w:p>
            <w:pPr>
              <w:ind w:left="160"/>
              <w:spacing w:after="0"/>
              <w:rPr>
                <w:sz w:val="20"/>
                <w:szCs w:val="20"/>
                <w:color w:val="auto"/>
              </w:rPr>
            </w:pPr>
            <w:r>
              <w:rPr>
                <w:rFonts w:ascii="Arial" w:cs="Arial" w:eastAsia="Arial" w:hAnsi="Arial"/>
                <w:sz w:val="18"/>
                <w:szCs w:val="18"/>
                <w:color w:val="auto"/>
              </w:rPr>
              <w:t>946,346</w:t>
            </w:r>
            <w:r>
              <w:rPr>
                <w:rFonts w:ascii="Arial" w:cs="Arial" w:eastAsia="Arial" w:hAnsi="Arial"/>
                <w:sz w:val="3"/>
                <w:szCs w:val="3"/>
                <w:color w:val="auto"/>
              </w:rPr>
              <w:t>​   ​</w:t>
            </w:r>
          </w:p>
        </w:tc>
        <w:tc>
          <w:tcPr>
            <w:tcW w:w="920" w:type="dxa"/>
            <w:vAlign w:val="bottom"/>
          </w:tcPr>
          <w:p>
            <w:pPr>
              <w:ind w:left="140"/>
              <w:spacing w:after="0"/>
              <w:rPr>
                <w:sz w:val="20"/>
                <w:szCs w:val="20"/>
                <w:color w:val="auto"/>
              </w:rPr>
            </w:pPr>
            <w:r>
              <w:rPr>
                <w:rFonts w:ascii="Arial" w:cs="Arial" w:eastAsia="Arial" w:hAnsi="Arial"/>
                <w:sz w:val="18"/>
                <w:szCs w:val="18"/>
                <w:color w:val="auto"/>
              </w:rPr>
              <w:t xml:space="preserve">0.14% </w:t>
            </w:r>
            <w:r>
              <w:rPr>
                <w:rFonts w:ascii="Arial" w:cs="Arial" w:eastAsia="Arial" w:hAnsi="Arial"/>
                <w:sz w:val="3"/>
                <w:szCs w:val="3"/>
                <w:color w:val="auto"/>
              </w:rPr>
              <w:t>​   ​</w:t>
            </w:r>
          </w:p>
        </w:tc>
        <w:tc>
          <w:tcPr>
            <w:tcW w:w="1160" w:type="dxa"/>
            <w:vAlign w:val="bottom"/>
          </w:tcPr>
          <w:p>
            <w:pPr>
              <w:ind w:left="160"/>
              <w:spacing w:after="0"/>
              <w:rPr>
                <w:sz w:val="20"/>
                <w:szCs w:val="20"/>
                <w:color w:val="auto"/>
              </w:rPr>
            </w:pPr>
            <w:r>
              <w:rPr>
                <w:rFonts w:ascii="Arial" w:cs="Arial" w:eastAsia="Arial" w:hAnsi="Arial"/>
                <w:sz w:val="18"/>
                <w:szCs w:val="18"/>
                <w:color w:val="auto"/>
              </w:rPr>
              <w:t>946,346</w:t>
            </w:r>
            <w:r>
              <w:rPr>
                <w:rFonts w:ascii="Arial" w:cs="Arial" w:eastAsia="Arial" w:hAnsi="Arial"/>
                <w:sz w:val="3"/>
                <w:szCs w:val="3"/>
                <w:color w:val="auto"/>
              </w:rPr>
              <w:t>​   ​</w:t>
            </w:r>
          </w:p>
        </w:tc>
        <w:tc>
          <w:tcPr>
            <w:tcW w:w="660" w:type="dxa"/>
            <w:vAlign w:val="bottom"/>
          </w:tcPr>
          <w:p>
            <w:pPr>
              <w:ind w:left="300"/>
              <w:spacing w:after="0"/>
              <w:rPr>
                <w:sz w:val="20"/>
                <w:szCs w:val="20"/>
                <w:color w:val="auto"/>
              </w:rPr>
            </w:pPr>
            <w:r>
              <w:rPr>
                <w:rFonts w:ascii="Arial" w:cs="Arial" w:eastAsia="Arial" w:hAnsi="Arial"/>
                <w:sz w:val="18"/>
                <w:szCs w:val="18"/>
                <w:color w:val="auto"/>
              </w:rPr>
              <w:t xml:space="preserve">0 </w:t>
            </w:r>
            <w:r>
              <w:rPr>
                <w:rFonts w:ascii="Arial" w:cs="Arial" w:eastAsia="Arial" w:hAnsi="Arial"/>
                <w:sz w:val="3"/>
                <w:szCs w:val="3"/>
                <w:color w:val="auto"/>
              </w:rPr>
              <w:t>​   ​</w:t>
            </w:r>
          </w:p>
        </w:tc>
        <w:tc>
          <w:tcPr>
            <w:tcW w:w="64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486"/>
        </w:trPr>
        <w:tc>
          <w:tcPr>
            <w:tcW w:w="220" w:type="dxa"/>
            <w:vAlign w:val="bottom"/>
          </w:tcPr>
          <w:p>
            <w:pPr>
              <w:spacing w:after="0"/>
              <w:rPr>
                <w:sz w:val="20"/>
                <w:szCs w:val="20"/>
                <w:color w:val="auto"/>
              </w:rPr>
            </w:pPr>
            <w:r>
              <w:rPr>
                <w:rFonts w:ascii="Arial" w:cs="Arial" w:eastAsia="Arial" w:hAnsi="Arial"/>
                <w:sz w:val="4"/>
                <w:szCs w:val="4"/>
                <w:color w:val="auto"/>
              </w:rPr>
              <w:t>​   ​</w:t>
            </w:r>
          </w:p>
        </w:tc>
        <w:tc>
          <w:tcPr>
            <w:tcW w:w="1000" w:type="dxa"/>
            <w:vAlign w:val="bottom"/>
          </w:tcPr>
          <w:p>
            <w:pPr>
              <w:ind w:left="160"/>
              <w:spacing w:after="0"/>
              <w:rPr>
                <w:sz w:val="20"/>
                <w:szCs w:val="20"/>
                <w:color w:val="auto"/>
              </w:rPr>
            </w:pPr>
            <w:r>
              <w:rPr>
                <w:rFonts w:ascii="Arial" w:cs="Arial" w:eastAsia="Arial" w:hAnsi="Arial"/>
                <w:sz w:val="18"/>
                <w:szCs w:val="18"/>
                <w:color w:val="auto"/>
              </w:rPr>
              <w:t>399,930</w:t>
            </w:r>
            <w:r>
              <w:rPr>
                <w:rFonts w:ascii="Arial" w:cs="Arial" w:eastAsia="Arial" w:hAnsi="Arial"/>
                <w:sz w:val="7"/>
                <w:szCs w:val="7"/>
                <w:color w:val="auto"/>
                <w:vertAlign w:val="superscript"/>
              </w:rPr>
              <w:t>​   ​</w:t>
            </w:r>
          </w:p>
        </w:tc>
        <w:tc>
          <w:tcPr>
            <w:tcW w:w="920" w:type="dxa"/>
            <w:vAlign w:val="bottom"/>
          </w:tcPr>
          <w:p>
            <w:pPr>
              <w:ind w:left="140"/>
              <w:spacing w:after="0"/>
              <w:rPr>
                <w:sz w:val="20"/>
                <w:szCs w:val="20"/>
                <w:color w:val="auto"/>
              </w:rPr>
            </w:pPr>
            <w:r>
              <w:rPr>
                <w:rFonts w:ascii="Arial" w:cs="Arial" w:eastAsia="Arial" w:hAnsi="Arial"/>
                <w:sz w:val="18"/>
                <w:szCs w:val="18"/>
                <w:color w:val="auto"/>
              </w:rPr>
              <w:t xml:space="preserve">0.06% </w:t>
            </w:r>
            <w:r>
              <w:rPr>
                <w:rFonts w:ascii="Arial" w:cs="Arial" w:eastAsia="Arial" w:hAnsi="Arial"/>
                <w:sz w:val="7"/>
                <w:szCs w:val="7"/>
                <w:color w:val="auto"/>
                <w:vertAlign w:val="superscript"/>
              </w:rPr>
              <w:t>​   ​</w:t>
            </w:r>
          </w:p>
        </w:tc>
        <w:tc>
          <w:tcPr>
            <w:tcW w:w="1160" w:type="dxa"/>
            <w:vAlign w:val="bottom"/>
          </w:tcPr>
          <w:p>
            <w:pPr>
              <w:ind w:left="160"/>
              <w:spacing w:after="0"/>
              <w:rPr>
                <w:sz w:val="20"/>
                <w:szCs w:val="20"/>
                <w:color w:val="auto"/>
              </w:rPr>
            </w:pPr>
            <w:r>
              <w:rPr>
                <w:rFonts w:ascii="Arial" w:cs="Arial" w:eastAsia="Arial" w:hAnsi="Arial"/>
                <w:sz w:val="18"/>
                <w:szCs w:val="18"/>
                <w:color w:val="auto"/>
              </w:rPr>
              <w:t>399,930</w:t>
            </w:r>
            <w:r>
              <w:rPr>
                <w:rFonts w:ascii="Arial" w:cs="Arial" w:eastAsia="Arial" w:hAnsi="Arial"/>
                <w:sz w:val="7"/>
                <w:szCs w:val="7"/>
                <w:color w:val="auto"/>
                <w:vertAlign w:val="superscript"/>
              </w:rPr>
              <w:t>​   ​</w:t>
            </w:r>
          </w:p>
        </w:tc>
        <w:tc>
          <w:tcPr>
            <w:tcW w:w="660" w:type="dxa"/>
            <w:vAlign w:val="bottom"/>
          </w:tcPr>
          <w:p>
            <w:pPr>
              <w:ind w:left="300"/>
              <w:spacing w:after="0"/>
              <w:rPr>
                <w:sz w:val="20"/>
                <w:szCs w:val="20"/>
                <w:color w:val="auto"/>
              </w:rPr>
            </w:pPr>
            <w:r>
              <w:rPr>
                <w:rFonts w:ascii="Arial" w:cs="Arial" w:eastAsia="Arial" w:hAnsi="Arial"/>
                <w:sz w:val="35"/>
                <w:szCs w:val="35"/>
                <w:color w:val="auto"/>
                <w:vertAlign w:val="subscript"/>
              </w:rPr>
              <w:t>0</w:t>
            </w:r>
            <w:r>
              <w:rPr>
                <w:rFonts w:ascii="Arial" w:cs="Arial" w:eastAsia="Arial" w:hAnsi="Arial"/>
                <w:sz w:val="4"/>
                <w:szCs w:val="4"/>
                <w:color w:val="auto"/>
              </w:rPr>
              <w:t xml:space="preserve"> ​   ​</w:t>
            </w:r>
          </w:p>
        </w:tc>
        <w:tc>
          <w:tcPr>
            <w:tcW w:w="64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284"/>
        </w:trPr>
        <w:tc>
          <w:tcPr>
            <w:tcW w:w="220" w:type="dxa"/>
            <w:vAlign w:val="bottom"/>
          </w:tcPr>
          <w:p>
            <w:pPr>
              <w:spacing w:after="0"/>
              <w:rPr>
                <w:sz w:val="20"/>
                <w:szCs w:val="20"/>
                <w:color w:val="auto"/>
              </w:rPr>
            </w:pPr>
            <w:r>
              <w:rPr>
                <w:rFonts w:ascii="Arial" w:cs="Arial" w:eastAsia="Arial" w:hAnsi="Arial"/>
                <w:sz w:val="4"/>
                <w:szCs w:val="4"/>
                <w:color w:val="auto"/>
              </w:rPr>
              <w:t>​   ​</w:t>
            </w:r>
          </w:p>
        </w:tc>
        <w:tc>
          <w:tcPr>
            <w:tcW w:w="1000" w:type="dxa"/>
            <w:vAlign w:val="bottom"/>
          </w:tcPr>
          <w:p>
            <w:pPr>
              <w:ind w:left="160"/>
              <w:spacing w:after="0"/>
              <w:rPr>
                <w:sz w:val="20"/>
                <w:szCs w:val="20"/>
                <w:color w:val="auto"/>
              </w:rPr>
            </w:pPr>
            <w:r>
              <w:rPr>
                <w:rFonts w:ascii="Arial" w:cs="Arial" w:eastAsia="Arial" w:hAnsi="Arial"/>
                <w:sz w:val="18"/>
                <w:szCs w:val="18"/>
                <w:color w:val="auto"/>
              </w:rPr>
              <w:t>256,993</w:t>
            </w:r>
            <w:r>
              <w:rPr>
                <w:rFonts w:ascii="Arial" w:cs="Arial" w:eastAsia="Arial" w:hAnsi="Arial"/>
                <w:sz w:val="3"/>
                <w:szCs w:val="3"/>
                <w:color w:val="auto"/>
              </w:rPr>
              <w:t>​   ​</w:t>
            </w:r>
          </w:p>
        </w:tc>
        <w:tc>
          <w:tcPr>
            <w:tcW w:w="920" w:type="dxa"/>
            <w:vAlign w:val="bottom"/>
          </w:tcPr>
          <w:p>
            <w:pPr>
              <w:ind w:left="140"/>
              <w:spacing w:after="0"/>
              <w:rPr>
                <w:sz w:val="20"/>
                <w:szCs w:val="20"/>
                <w:color w:val="auto"/>
              </w:rPr>
            </w:pPr>
            <w:r>
              <w:rPr>
                <w:rFonts w:ascii="Arial" w:cs="Arial" w:eastAsia="Arial" w:hAnsi="Arial"/>
                <w:sz w:val="18"/>
                <w:szCs w:val="18"/>
                <w:color w:val="auto"/>
              </w:rPr>
              <w:t xml:space="preserve">0.04% </w:t>
            </w:r>
            <w:r>
              <w:rPr>
                <w:rFonts w:ascii="Arial" w:cs="Arial" w:eastAsia="Arial" w:hAnsi="Arial"/>
                <w:sz w:val="3"/>
                <w:szCs w:val="3"/>
                <w:color w:val="auto"/>
              </w:rPr>
              <w:t>​   ​</w:t>
            </w:r>
          </w:p>
        </w:tc>
        <w:tc>
          <w:tcPr>
            <w:tcW w:w="1160" w:type="dxa"/>
            <w:vAlign w:val="bottom"/>
          </w:tcPr>
          <w:p>
            <w:pPr>
              <w:ind w:left="160"/>
              <w:spacing w:after="0"/>
              <w:rPr>
                <w:sz w:val="20"/>
                <w:szCs w:val="20"/>
                <w:color w:val="auto"/>
              </w:rPr>
            </w:pPr>
            <w:r>
              <w:rPr>
                <w:rFonts w:ascii="Arial" w:cs="Arial" w:eastAsia="Arial" w:hAnsi="Arial"/>
                <w:sz w:val="18"/>
                <w:szCs w:val="18"/>
                <w:color w:val="auto"/>
              </w:rPr>
              <w:t>256,993</w:t>
            </w:r>
            <w:r>
              <w:rPr>
                <w:rFonts w:ascii="Arial" w:cs="Arial" w:eastAsia="Arial" w:hAnsi="Arial"/>
                <w:sz w:val="3"/>
                <w:szCs w:val="3"/>
                <w:color w:val="auto"/>
              </w:rPr>
              <w:t>​   ​</w:t>
            </w:r>
          </w:p>
        </w:tc>
        <w:tc>
          <w:tcPr>
            <w:tcW w:w="660" w:type="dxa"/>
            <w:vAlign w:val="bottom"/>
          </w:tcPr>
          <w:p>
            <w:pPr>
              <w:ind w:left="300"/>
              <w:spacing w:after="0"/>
              <w:rPr>
                <w:sz w:val="20"/>
                <w:szCs w:val="20"/>
                <w:color w:val="auto"/>
              </w:rPr>
            </w:pPr>
            <w:r>
              <w:rPr>
                <w:rFonts w:ascii="Arial" w:cs="Arial" w:eastAsia="Arial" w:hAnsi="Arial"/>
                <w:sz w:val="18"/>
                <w:szCs w:val="18"/>
                <w:color w:val="auto"/>
              </w:rPr>
              <w:t xml:space="preserve">0 </w:t>
            </w:r>
            <w:r>
              <w:rPr>
                <w:rFonts w:ascii="Arial" w:cs="Arial" w:eastAsia="Arial" w:hAnsi="Arial"/>
                <w:sz w:val="3"/>
                <w:szCs w:val="3"/>
                <w:color w:val="auto"/>
              </w:rPr>
              <w:t>​   ​</w:t>
            </w:r>
          </w:p>
        </w:tc>
        <w:tc>
          <w:tcPr>
            <w:tcW w:w="640" w:type="dxa"/>
            <w:vAlign w:val="bottom"/>
          </w:tcPr>
          <w:p>
            <w:pPr>
              <w:jc w:val="right"/>
              <w:spacing w:after="0"/>
              <w:rPr>
                <w:sz w:val="20"/>
                <w:szCs w:val="20"/>
                <w:color w:val="auto"/>
              </w:rPr>
            </w:pPr>
            <w:r>
              <w:rPr>
                <w:rFonts w:ascii="Arial" w:cs="Arial" w:eastAsia="Arial" w:hAnsi="Arial"/>
                <w:sz w:val="18"/>
                <w:szCs w:val="18"/>
                <w:color w:val="auto"/>
              </w:rPr>
              <w:t>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-2392045</wp:posOffset>
            </wp:positionH>
            <wp:positionV relativeFrom="paragraph">
              <wp:posOffset>-162560</wp:posOffset>
            </wp:positionV>
            <wp:extent cx="5349240" cy="1885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349240" cy="188595"/>
                    </a:xfrm>
                    <a:prstGeom prst="rect">
                      <a:avLst/>
                    </a:prstGeom>
                    <a:noFill/>
                  </pic:spPr>
                </pic:pic>
              </a:graphicData>
            </a:graphic>
          </wp:anchor>
        </w:drawing>
      </w:r>
    </w:p>
    <w:p>
      <w:pPr>
        <w:spacing w:after="0" w:line="67" w:lineRule="exact"/>
        <w:rPr>
          <w:sz w:val="20"/>
          <w:szCs w:val="20"/>
          <w:color w:val="auto"/>
        </w:rPr>
      </w:pPr>
    </w:p>
    <w:p>
      <w:pPr>
        <w:sectPr>
          <w:pgSz w:w="11900" w:h="16838" w:orient="portrait"/>
          <w:cols w:equalWidth="0" w:num="2">
            <w:col w:w="3780" w:space="280"/>
            <w:col w:w="4959"/>
          </w:cols>
          <w:pgMar w:left="1440" w:top="265" w:right="1440" w:bottom="1440" w:gutter="0" w:footer="0" w:header="0"/>
          <w:type w:val="continuous"/>
        </w:sectPr>
      </w:pPr>
    </w:p>
    <w:tbl>
      <w:tblPr>
        <w:tblLayout w:type="fixed"/>
        <w:tblInd w:w="300" w:type="dxa"/>
        <w:tblCellMar>
          <w:top w:w="0" w:type="dxa"/>
          <w:left w:w="0" w:type="dxa"/>
          <w:bottom w:w="0" w:type="dxa"/>
          <w:right w:w="0" w:type="dxa"/>
        </w:tblCellMar>
      </w:tblPr>
      <w:tr>
        <w:trPr>
          <w:trHeight w:val="257"/>
        </w:trPr>
        <w:tc>
          <w:tcPr>
            <w:tcW w:w="3660" w:type="dxa"/>
            <w:vAlign w:val="bottom"/>
          </w:tcPr>
          <w:p>
            <w:pPr>
              <w:spacing w:after="0" w:line="258" w:lineRule="exact"/>
              <w:rPr>
                <w:sz w:val="20"/>
                <w:szCs w:val="20"/>
                <w:color w:val="auto"/>
              </w:rPr>
            </w:pPr>
            <w:r>
              <w:rPr>
                <w:rFonts w:ascii="Arial" w:cs="Arial" w:eastAsia="Arial" w:hAnsi="Arial"/>
                <w:sz w:val="18"/>
                <w:szCs w:val="18"/>
                <w:color w:val="auto"/>
              </w:rPr>
              <w:t>Sona Blue Peak, Ltd.</w:t>
            </w:r>
            <w:r>
              <w:rPr>
                <w:rFonts w:ascii="Arial" w:cs="Arial" w:eastAsia="Arial" w:hAnsi="Arial"/>
                <w:sz w:val="29"/>
                <w:szCs w:val="29"/>
                <w:color w:val="auto"/>
                <w:vertAlign w:val="superscript"/>
              </w:rPr>
              <w:t>6</w:t>
            </w:r>
          </w:p>
        </w:tc>
        <w:tc>
          <w:tcPr>
            <w:tcW w:w="240" w:type="dxa"/>
            <w:vAlign w:val="bottom"/>
          </w:tcPr>
          <w:p>
            <w:pPr>
              <w:ind w:left="100"/>
              <w:spacing w:after="0"/>
              <w:rPr>
                <w:sz w:val="20"/>
                <w:szCs w:val="20"/>
                <w:color w:val="auto"/>
              </w:rPr>
            </w:pPr>
            <w:r>
              <w:rPr>
                <w:rFonts w:ascii="Arial" w:cs="Arial" w:eastAsia="Arial" w:hAnsi="Arial"/>
                <w:sz w:val="4"/>
                <w:szCs w:val="4"/>
                <w:color w:val="auto"/>
              </w:rPr>
              <w:t>​   ​</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205,594</w:t>
            </w:r>
            <w:r>
              <w:rPr>
                <w:rFonts w:ascii="Arial" w:cs="Arial" w:eastAsia="Arial" w:hAnsi="Arial"/>
                <w:sz w:val="3"/>
                <w:szCs w:val="3"/>
                <w:color w:val="auto"/>
              </w:rPr>
              <w:t>​   ​</w:t>
            </w:r>
          </w:p>
        </w:tc>
        <w:tc>
          <w:tcPr>
            <w:tcW w:w="680" w:type="dxa"/>
            <w:vAlign w:val="bottom"/>
          </w:tcPr>
          <w:p>
            <w:pPr>
              <w:jc w:val="right"/>
              <w:spacing w:after="0"/>
              <w:rPr>
                <w:sz w:val="20"/>
                <w:szCs w:val="20"/>
                <w:color w:val="auto"/>
              </w:rPr>
            </w:pPr>
            <w:r>
              <w:rPr>
                <w:rFonts w:ascii="Arial" w:cs="Arial" w:eastAsia="Arial" w:hAnsi="Arial"/>
                <w:sz w:val="18"/>
                <w:szCs w:val="18"/>
                <w:color w:val="auto"/>
              </w:rPr>
              <w:t>0.03%</w:t>
            </w:r>
          </w:p>
        </w:tc>
        <w:tc>
          <w:tcPr>
            <w:tcW w:w="180" w:type="dxa"/>
            <w:vAlign w:val="bottom"/>
          </w:tcPr>
          <w:p>
            <w:pPr>
              <w:ind w:left="20"/>
              <w:spacing w:after="0"/>
              <w:rPr>
                <w:sz w:val="20"/>
                <w:szCs w:val="20"/>
                <w:color w:val="auto"/>
              </w:rPr>
            </w:pPr>
            <w:r>
              <w:rPr>
                <w:rFonts w:ascii="Arial" w:cs="Arial" w:eastAsia="Arial" w:hAnsi="Arial"/>
                <w:sz w:val="4"/>
                <w:szCs w:val="4"/>
                <w:color w:val="auto"/>
              </w:rPr>
              <w:t>​   ​</w:t>
            </w:r>
          </w:p>
        </w:tc>
        <w:tc>
          <w:tcPr>
            <w:tcW w:w="1000" w:type="dxa"/>
            <w:vAlign w:val="bottom"/>
          </w:tcPr>
          <w:p>
            <w:pPr>
              <w:jc w:val="right"/>
              <w:spacing w:after="0"/>
              <w:rPr>
                <w:sz w:val="20"/>
                <w:szCs w:val="20"/>
                <w:color w:val="auto"/>
              </w:rPr>
            </w:pPr>
            <w:r>
              <w:rPr>
                <w:rFonts w:ascii="Arial" w:cs="Arial" w:eastAsia="Arial" w:hAnsi="Arial"/>
                <w:sz w:val="18"/>
                <w:szCs w:val="18"/>
                <w:color w:val="auto"/>
              </w:rPr>
              <w:t>205,594</w:t>
            </w:r>
            <w:r>
              <w:rPr>
                <w:rFonts w:ascii="Arial" w:cs="Arial" w:eastAsia="Arial" w:hAnsi="Arial"/>
                <w:sz w:val="3"/>
                <w:szCs w:val="3"/>
                <w:color w:val="auto"/>
              </w:rPr>
              <w:t>​   ​</w:t>
            </w: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ind w:left="40"/>
              <w:spacing w:after="0"/>
              <w:rPr>
                <w:sz w:val="20"/>
                <w:szCs w:val="20"/>
                <w:color w:val="auto"/>
              </w:rPr>
            </w:pPr>
            <w:r>
              <w:rPr>
                <w:rFonts w:ascii="Arial" w:cs="Arial" w:eastAsia="Arial" w:hAnsi="Arial"/>
                <w:sz w:val="4"/>
                <w:szCs w:val="4"/>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283"/>
        </w:trPr>
        <w:tc>
          <w:tcPr>
            <w:tcW w:w="3660" w:type="dxa"/>
            <w:vAlign w:val="bottom"/>
            <w:shd w:val="clear" w:color="auto" w:fill="CCEEFF"/>
          </w:tcPr>
          <w:p>
            <w:pPr>
              <w:spacing w:after="0" w:line="284" w:lineRule="exact"/>
              <w:rPr>
                <w:sz w:val="20"/>
                <w:szCs w:val="20"/>
                <w:color w:val="auto"/>
              </w:rPr>
            </w:pPr>
            <w:r>
              <w:rPr>
                <w:rFonts w:ascii="Arial" w:cs="Arial" w:eastAsia="Arial" w:hAnsi="Arial"/>
                <w:sz w:val="18"/>
                <w:szCs w:val="18"/>
                <w:color w:val="auto"/>
              </w:rPr>
              <w:t>Sona Credit Master Fund Limited</w:t>
            </w:r>
            <w:r>
              <w:rPr>
                <w:rFonts w:ascii="Arial" w:cs="Arial" w:eastAsia="Arial" w:hAnsi="Arial"/>
                <w:sz w:val="29"/>
                <w:szCs w:val="29"/>
                <w:color w:val="auto"/>
                <w:vertAlign w:val="superscript"/>
              </w:rPr>
              <w:t>6</w:t>
            </w:r>
          </w:p>
        </w:tc>
        <w:tc>
          <w:tcPr>
            <w:tcW w:w="240" w:type="dxa"/>
            <w:vAlign w:val="bottom"/>
            <w:shd w:val="clear" w:color="auto" w:fill="CCEEFF"/>
          </w:tcPr>
          <w:p>
            <w:pPr>
              <w:ind w:left="100"/>
              <w:spacing w:after="0"/>
              <w:rPr>
                <w:sz w:val="20"/>
                <w:szCs w:val="20"/>
                <w:color w:val="auto"/>
              </w:rPr>
            </w:pPr>
            <w:r>
              <w:rPr>
                <w:rFonts w:ascii="Arial" w:cs="Arial" w:eastAsia="Arial" w:hAnsi="Arial"/>
                <w:sz w:val="4"/>
                <w:szCs w:val="4"/>
                <w:color w:val="auto"/>
              </w:rPr>
              <w:t>​   ​</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1,250,699</w:t>
            </w:r>
            <w:r>
              <w:rPr>
                <w:rFonts w:ascii="Arial" w:cs="Arial" w:eastAsia="Arial" w:hAnsi="Arial"/>
                <w:sz w:val="3"/>
                <w:szCs w:val="3"/>
                <w:color w:val="auto"/>
              </w:rPr>
              <w:t>​   ​</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80" w:type="dxa"/>
            <w:vAlign w:val="bottom"/>
            <w:shd w:val="clear" w:color="auto" w:fill="CCEEFF"/>
          </w:tcPr>
          <w:p>
            <w:pPr>
              <w:ind w:left="20"/>
              <w:spacing w:after="0"/>
              <w:rPr>
                <w:sz w:val="20"/>
                <w:szCs w:val="20"/>
                <w:color w:val="auto"/>
              </w:rPr>
            </w:pPr>
            <w:r>
              <w:rPr>
                <w:rFonts w:ascii="Arial" w:cs="Arial" w:eastAsia="Arial" w:hAnsi="Arial"/>
                <w:sz w:val="4"/>
                <w:szCs w:val="4"/>
                <w:color w:val="auto"/>
              </w:rPr>
              <w:t>​   ​</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1,250,699</w:t>
            </w:r>
            <w:r>
              <w:rPr>
                <w:rFonts w:ascii="Arial" w:cs="Arial" w:eastAsia="Arial" w:hAnsi="Arial"/>
                <w:sz w:val="3"/>
                <w:szCs w:val="3"/>
                <w:color w:val="auto"/>
              </w:rPr>
              <w:t>​   ​</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ind w:left="40"/>
              <w:spacing w:after="0"/>
              <w:rPr>
                <w:sz w:val="20"/>
                <w:szCs w:val="20"/>
                <w:color w:val="auto"/>
              </w:rPr>
            </w:pPr>
            <w:r>
              <w:rPr>
                <w:rFonts w:ascii="Arial" w:cs="Arial" w:eastAsia="Arial" w:hAnsi="Arial"/>
                <w:sz w:val="4"/>
                <w:szCs w:val="4"/>
                <w:color w:val="auto"/>
              </w:rPr>
              <w:t>​   ​</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r>
      <w:tr>
        <w:trPr>
          <w:trHeight w:val="297"/>
        </w:trPr>
        <w:tc>
          <w:tcPr>
            <w:tcW w:w="3660" w:type="dxa"/>
            <w:vAlign w:val="bottom"/>
          </w:tcPr>
          <w:p>
            <w:pPr>
              <w:spacing w:after="0" w:line="296" w:lineRule="exact"/>
              <w:rPr>
                <w:sz w:val="20"/>
                <w:szCs w:val="20"/>
                <w:color w:val="auto"/>
              </w:rPr>
            </w:pPr>
            <w:r>
              <w:rPr>
                <w:rFonts w:ascii="Arial" w:cs="Arial" w:eastAsia="Arial" w:hAnsi="Arial"/>
                <w:sz w:val="18"/>
                <w:szCs w:val="18"/>
                <w:color w:val="auto"/>
              </w:rPr>
              <w:t>Context Partners Master Fund, L.P.</w:t>
            </w:r>
            <w:r>
              <w:rPr>
                <w:rFonts w:ascii="Arial" w:cs="Arial" w:eastAsia="Arial" w:hAnsi="Arial"/>
                <w:sz w:val="29"/>
                <w:szCs w:val="29"/>
                <w:color w:val="auto"/>
                <w:vertAlign w:val="superscript"/>
              </w:rPr>
              <w:t>7</w:t>
            </w:r>
          </w:p>
        </w:tc>
        <w:tc>
          <w:tcPr>
            <w:tcW w:w="240" w:type="dxa"/>
            <w:vAlign w:val="bottom"/>
          </w:tcPr>
          <w:p>
            <w:pPr>
              <w:ind w:left="100"/>
              <w:spacing w:after="0"/>
              <w:rPr>
                <w:sz w:val="20"/>
                <w:szCs w:val="20"/>
                <w:color w:val="auto"/>
              </w:rPr>
            </w:pPr>
            <w:r>
              <w:rPr>
                <w:rFonts w:ascii="Arial" w:cs="Arial" w:eastAsia="Arial" w:hAnsi="Arial"/>
                <w:sz w:val="4"/>
                <w:szCs w:val="4"/>
                <w:color w:val="auto"/>
              </w:rPr>
              <w:t>​   ​</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3,377,622</w:t>
            </w:r>
            <w:r>
              <w:rPr>
                <w:rFonts w:ascii="Arial" w:cs="Arial" w:eastAsia="Arial" w:hAnsi="Arial"/>
                <w:sz w:val="3"/>
                <w:szCs w:val="3"/>
                <w:color w:val="auto"/>
              </w:rPr>
              <w:t>​   ​</w:t>
            </w:r>
          </w:p>
        </w:tc>
        <w:tc>
          <w:tcPr>
            <w:tcW w:w="680" w:type="dxa"/>
            <w:vAlign w:val="bottom"/>
          </w:tcPr>
          <w:p>
            <w:pPr>
              <w:jc w:val="right"/>
              <w:spacing w:after="0"/>
              <w:rPr>
                <w:sz w:val="20"/>
                <w:szCs w:val="20"/>
                <w:color w:val="auto"/>
              </w:rPr>
            </w:pPr>
            <w:r>
              <w:rPr>
                <w:rFonts w:ascii="Arial" w:cs="Arial" w:eastAsia="Arial" w:hAnsi="Arial"/>
                <w:sz w:val="18"/>
                <w:szCs w:val="18"/>
                <w:color w:val="auto"/>
              </w:rPr>
              <w:t>0.51%</w:t>
            </w:r>
          </w:p>
        </w:tc>
        <w:tc>
          <w:tcPr>
            <w:tcW w:w="180" w:type="dxa"/>
            <w:vAlign w:val="bottom"/>
          </w:tcPr>
          <w:p>
            <w:pPr>
              <w:ind w:left="20"/>
              <w:spacing w:after="0"/>
              <w:rPr>
                <w:sz w:val="20"/>
                <w:szCs w:val="20"/>
                <w:color w:val="auto"/>
              </w:rPr>
            </w:pPr>
            <w:r>
              <w:rPr>
                <w:rFonts w:ascii="Arial" w:cs="Arial" w:eastAsia="Arial" w:hAnsi="Arial"/>
                <w:sz w:val="4"/>
                <w:szCs w:val="4"/>
                <w:color w:val="auto"/>
              </w:rPr>
              <w:t>​   ​</w:t>
            </w:r>
          </w:p>
        </w:tc>
        <w:tc>
          <w:tcPr>
            <w:tcW w:w="1000" w:type="dxa"/>
            <w:vAlign w:val="bottom"/>
          </w:tcPr>
          <w:p>
            <w:pPr>
              <w:jc w:val="right"/>
              <w:spacing w:after="0"/>
              <w:rPr>
                <w:sz w:val="20"/>
                <w:szCs w:val="20"/>
                <w:color w:val="auto"/>
              </w:rPr>
            </w:pPr>
            <w:r>
              <w:rPr>
                <w:rFonts w:ascii="Arial" w:cs="Arial" w:eastAsia="Arial" w:hAnsi="Arial"/>
                <w:sz w:val="18"/>
                <w:szCs w:val="18"/>
                <w:color w:val="auto"/>
              </w:rPr>
              <w:t>3,377,622</w:t>
            </w:r>
            <w:r>
              <w:rPr>
                <w:rFonts w:ascii="Arial" w:cs="Arial" w:eastAsia="Arial" w:hAnsi="Arial"/>
                <w:sz w:val="3"/>
                <w:szCs w:val="3"/>
                <w:color w:val="auto"/>
              </w:rPr>
              <w:t>​   ​</w:t>
            </w: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ind w:left="40"/>
              <w:spacing w:after="0"/>
              <w:rPr>
                <w:sz w:val="20"/>
                <w:szCs w:val="20"/>
                <w:color w:val="auto"/>
              </w:rPr>
            </w:pPr>
            <w:r>
              <w:rPr>
                <w:rFonts w:ascii="Arial" w:cs="Arial" w:eastAsia="Arial" w:hAnsi="Arial"/>
                <w:sz w:val="4"/>
                <w:szCs w:val="4"/>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283"/>
        </w:trPr>
        <w:tc>
          <w:tcPr>
            <w:tcW w:w="3660" w:type="dxa"/>
            <w:vAlign w:val="bottom"/>
            <w:shd w:val="clear" w:color="auto" w:fill="CCEEFF"/>
          </w:tcPr>
          <w:p>
            <w:pPr>
              <w:spacing w:after="0" w:line="284" w:lineRule="exact"/>
              <w:rPr>
                <w:sz w:val="20"/>
                <w:szCs w:val="20"/>
                <w:color w:val="auto"/>
              </w:rPr>
            </w:pPr>
            <w:r>
              <w:rPr>
                <w:rFonts w:ascii="Arial" w:cs="Arial" w:eastAsia="Arial" w:hAnsi="Arial"/>
                <w:sz w:val="18"/>
                <w:szCs w:val="18"/>
                <w:color w:val="auto"/>
                <w:w w:val="99"/>
              </w:rPr>
              <w:t>Highbridge Tactical Credit Master Fund, L.P.</w:t>
            </w:r>
            <w:r>
              <w:rPr>
                <w:rFonts w:ascii="Arial" w:cs="Arial" w:eastAsia="Arial" w:hAnsi="Arial"/>
                <w:sz w:val="29"/>
                <w:szCs w:val="29"/>
                <w:color w:val="auto"/>
                <w:w w:val="99"/>
                <w:vertAlign w:val="superscript"/>
              </w:rPr>
              <w:t>8</w:t>
            </w:r>
          </w:p>
        </w:tc>
        <w:tc>
          <w:tcPr>
            <w:tcW w:w="240" w:type="dxa"/>
            <w:vAlign w:val="bottom"/>
            <w:shd w:val="clear" w:color="auto" w:fill="CCEEFF"/>
          </w:tcPr>
          <w:p>
            <w:pPr>
              <w:ind w:left="100"/>
              <w:spacing w:after="0"/>
              <w:rPr>
                <w:sz w:val="20"/>
                <w:szCs w:val="20"/>
                <w:color w:val="auto"/>
              </w:rPr>
            </w:pPr>
            <w:r>
              <w:rPr>
                <w:rFonts w:ascii="Arial" w:cs="Arial" w:eastAsia="Arial" w:hAnsi="Arial"/>
                <w:sz w:val="4"/>
                <w:szCs w:val="4"/>
                <w:color w:val="auto"/>
              </w:rPr>
              <w:t>​   ​</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6,118,881</w:t>
            </w:r>
            <w:r>
              <w:rPr>
                <w:rFonts w:ascii="Arial" w:cs="Arial" w:eastAsia="Arial" w:hAnsi="Arial"/>
                <w:sz w:val="3"/>
                <w:szCs w:val="3"/>
                <w:color w:val="auto"/>
              </w:rPr>
              <w:t>​   ​</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180" w:type="dxa"/>
            <w:vAlign w:val="bottom"/>
            <w:shd w:val="clear" w:color="auto" w:fill="CCEEFF"/>
          </w:tcPr>
          <w:p>
            <w:pPr>
              <w:ind w:left="20"/>
              <w:spacing w:after="0"/>
              <w:rPr>
                <w:sz w:val="20"/>
                <w:szCs w:val="20"/>
                <w:color w:val="auto"/>
              </w:rPr>
            </w:pPr>
            <w:r>
              <w:rPr>
                <w:rFonts w:ascii="Arial" w:cs="Arial" w:eastAsia="Arial" w:hAnsi="Arial"/>
                <w:sz w:val="4"/>
                <w:szCs w:val="4"/>
                <w:color w:val="auto"/>
              </w:rPr>
              <w:t>​   ​</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6,118,881</w:t>
            </w:r>
            <w:r>
              <w:rPr>
                <w:rFonts w:ascii="Arial" w:cs="Arial" w:eastAsia="Arial" w:hAnsi="Arial"/>
                <w:sz w:val="3"/>
                <w:szCs w:val="3"/>
                <w:color w:val="auto"/>
              </w:rPr>
              <w:t>​   ​</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ind w:left="40"/>
              <w:spacing w:after="0"/>
              <w:rPr>
                <w:sz w:val="20"/>
                <w:szCs w:val="20"/>
                <w:color w:val="auto"/>
              </w:rPr>
            </w:pPr>
            <w:r>
              <w:rPr>
                <w:rFonts w:ascii="Arial" w:cs="Arial" w:eastAsia="Arial" w:hAnsi="Arial"/>
                <w:sz w:val="4"/>
                <w:szCs w:val="4"/>
                <w:color w:val="auto"/>
              </w:rPr>
              <w:t>​   ​</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r>
      <w:tr>
        <w:trPr>
          <w:trHeight w:val="284"/>
        </w:trPr>
        <w:tc>
          <w:tcPr>
            <w:tcW w:w="3660" w:type="dxa"/>
            <w:vAlign w:val="bottom"/>
          </w:tcPr>
          <w:p>
            <w:pPr>
              <w:spacing w:after="0" w:line="284" w:lineRule="exact"/>
              <w:rPr>
                <w:sz w:val="20"/>
                <w:szCs w:val="20"/>
                <w:color w:val="auto"/>
              </w:rPr>
            </w:pPr>
            <w:r>
              <w:rPr>
                <w:rFonts w:ascii="Arial" w:cs="Arial" w:eastAsia="Arial" w:hAnsi="Arial"/>
                <w:sz w:val="18"/>
                <w:szCs w:val="18"/>
                <w:color w:val="auto"/>
              </w:rPr>
              <w:t>Walleye Manager Opportunities LLC</w:t>
            </w:r>
            <w:r>
              <w:rPr>
                <w:rFonts w:ascii="Arial" w:cs="Arial" w:eastAsia="Arial" w:hAnsi="Arial"/>
                <w:sz w:val="29"/>
                <w:szCs w:val="29"/>
                <w:color w:val="auto"/>
                <w:vertAlign w:val="superscript"/>
              </w:rPr>
              <w:t>9</w:t>
            </w:r>
          </w:p>
        </w:tc>
        <w:tc>
          <w:tcPr>
            <w:tcW w:w="240" w:type="dxa"/>
            <w:vAlign w:val="bottom"/>
          </w:tcPr>
          <w:p>
            <w:pPr>
              <w:ind w:left="100"/>
              <w:spacing w:after="0"/>
              <w:rPr>
                <w:sz w:val="20"/>
                <w:szCs w:val="20"/>
                <w:color w:val="auto"/>
              </w:rPr>
            </w:pPr>
            <w:r>
              <w:rPr>
                <w:rFonts w:ascii="Arial" w:cs="Arial" w:eastAsia="Arial" w:hAnsi="Arial"/>
                <w:sz w:val="4"/>
                <w:szCs w:val="4"/>
                <w:color w:val="auto"/>
              </w:rPr>
              <w:t>​   ​</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1,257,776</w:t>
            </w:r>
            <w:r>
              <w:rPr>
                <w:rFonts w:ascii="Arial" w:cs="Arial" w:eastAsia="Arial" w:hAnsi="Arial"/>
                <w:sz w:val="3"/>
                <w:szCs w:val="3"/>
                <w:color w:val="auto"/>
              </w:rPr>
              <w:t>​   ​</w:t>
            </w:r>
          </w:p>
        </w:tc>
        <w:tc>
          <w:tcPr>
            <w:tcW w:w="680" w:type="dxa"/>
            <w:vAlign w:val="bottom"/>
          </w:tcPr>
          <w:p>
            <w:pPr>
              <w:jc w:val="right"/>
              <w:spacing w:after="0"/>
              <w:rPr>
                <w:sz w:val="20"/>
                <w:szCs w:val="20"/>
                <w:color w:val="auto"/>
              </w:rPr>
            </w:pPr>
            <w:r>
              <w:rPr>
                <w:rFonts w:ascii="Arial" w:cs="Arial" w:eastAsia="Arial" w:hAnsi="Arial"/>
                <w:sz w:val="18"/>
                <w:szCs w:val="18"/>
                <w:color w:val="auto"/>
              </w:rPr>
              <w:t>0.19%</w:t>
            </w:r>
          </w:p>
        </w:tc>
        <w:tc>
          <w:tcPr>
            <w:tcW w:w="180" w:type="dxa"/>
            <w:vAlign w:val="bottom"/>
          </w:tcPr>
          <w:p>
            <w:pPr>
              <w:ind w:left="20"/>
              <w:spacing w:after="0"/>
              <w:rPr>
                <w:sz w:val="20"/>
                <w:szCs w:val="20"/>
                <w:color w:val="auto"/>
              </w:rPr>
            </w:pPr>
            <w:r>
              <w:rPr>
                <w:rFonts w:ascii="Arial" w:cs="Arial" w:eastAsia="Arial" w:hAnsi="Arial"/>
                <w:sz w:val="4"/>
                <w:szCs w:val="4"/>
                <w:color w:val="auto"/>
              </w:rPr>
              <w:t>​   ​</w:t>
            </w:r>
          </w:p>
        </w:tc>
        <w:tc>
          <w:tcPr>
            <w:tcW w:w="1000" w:type="dxa"/>
            <w:vAlign w:val="bottom"/>
          </w:tcPr>
          <w:p>
            <w:pPr>
              <w:jc w:val="right"/>
              <w:spacing w:after="0"/>
              <w:rPr>
                <w:sz w:val="20"/>
                <w:szCs w:val="20"/>
                <w:color w:val="auto"/>
              </w:rPr>
            </w:pPr>
            <w:r>
              <w:rPr>
                <w:rFonts w:ascii="Arial" w:cs="Arial" w:eastAsia="Arial" w:hAnsi="Arial"/>
                <w:sz w:val="18"/>
                <w:szCs w:val="18"/>
                <w:color w:val="auto"/>
              </w:rPr>
              <w:t>1,223,776</w:t>
            </w:r>
            <w:r>
              <w:rPr>
                <w:rFonts w:ascii="Arial" w:cs="Arial" w:eastAsia="Arial" w:hAnsi="Arial"/>
                <w:sz w:val="3"/>
                <w:szCs w:val="3"/>
                <w:color w:val="auto"/>
              </w:rPr>
              <w:t>​   ​</w:t>
            </w:r>
          </w:p>
        </w:tc>
        <w:tc>
          <w:tcPr>
            <w:tcW w:w="640" w:type="dxa"/>
            <w:vAlign w:val="bottom"/>
          </w:tcPr>
          <w:p>
            <w:pPr>
              <w:jc w:val="right"/>
              <w:spacing w:after="0"/>
              <w:rPr>
                <w:sz w:val="20"/>
                <w:szCs w:val="20"/>
                <w:color w:val="auto"/>
              </w:rPr>
            </w:pPr>
            <w:r>
              <w:rPr>
                <w:rFonts w:ascii="Arial" w:cs="Arial" w:eastAsia="Arial" w:hAnsi="Arial"/>
                <w:sz w:val="18"/>
                <w:szCs w:val="18"/>
                <w:color w:val="auto"/>
              </w:rPr>
              <w:t>34,000</w:t>
            </w:r>
          </w:p>
        </w:tc>
        <w:tc>
          <w:tcPr>
            <w:tcW w:w="240" w:type="dxa"/>
            <w:vAlign w:val="bottom"/>
          </w:tcPr>
          <w:p>
            <w:pPr>
              <w:ind w:left="40"/>
              <w:spacing w:after="0"/>
              <w:rPr>
                <w:sz w:val="20"/>
                <w:szCs w:val="20"/>
                <w:color w:val="auto"/>
              </w:rPr>
            </w:pPr>
            <w:r>
              <w:rPr>
                <w:rFonts w:ascii="Arial" w:cs="Arial" w:eastAsia="Arial" w:hAnsi="Arial"/>
                <w:sz w:val="4"/>
                <w:szCs w:val="4"/>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297"/>
        </w:trPr>
        <w:tc>
          <w:tcPr>
            <w:tcW w:w="3660" w:type="dxa"/>
            <w:vAlign w:val="bottom"/>
            <w:shd w:val="clear" w:color="auto" w:fill="CCEEFF"/>
          </w:tcPr>
          <w:p>
            <w:pPr>
              <w:spacing w:after="0" w:line="296" w:lineRule="exact"/>
              <w:rPr>
                <w:sz w:val="20"/>
                <w:szCs w:val="20"/>
                <w:color w:val="auto"/>
              </w:rPr>
            </w:pPr>
            <w:r>
              <w:rPr>
                <w:rFonts w:ascii="Arial" w:cs="Arial" w:eastAsia="Arial" w:hAnsi="Arial"/>
                <w:sz w:val="18"/>
                <w:szCs w:val="18"/>
                <w:color w:val="auto"/>
              </w:rPr>
              <w:t>Graham Credit Opportunities Ltd.</w:t>
            </w:r>
            <w:r>
              <w:rPr>
                <w:rFonts w:ascii="Arial" w:cs="Arial" w:eastAsia="Arial" w:hAnsi="Arial"/>
                <w:sz w:val="29"/>
                <w:szCs w:val="29"/>
                <w:color w:val="auto"/>
                <w:vertAlign w:val="superscript"/>
              </w:rPr>
              <w:t>10</w:t>
            </w:r>
          </w:p>
        </w:tc>
        <w:tc>
          <w:tcPr>
            <w:tcW w:w="240" w:type="dxa"/>
            <w:vAlign w:val="bottom"/>
            <w:shd w:val="clear" w:color="auto" w:fill="CCEEFF"/>
          </w:tcPr>
          <w:p>
            <w:pPr>
              <w:ind w:left="100"/>
              <w:spacing w:after="0"/>
              <w:rPr>
                <w:sz w:val="20"/>
                <w:szCs w:val="20"/>
                <w:color w:val="auto"/>
              </w:rPr>
            </w:pPr>
            <w:r>
              <w:rPr>
                <w:rFonts w:ascii="Arial" w:cs="Arial" w:eastAsia="Arial" w:hAnsi="Arial"/>
                <w:sz w:val="4"/>
                <w:szCs w:val="4"/>
                <w:color w:val="auto"/>
              </w:rPr>
              <w:t>​   ​</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2,545,454</w:t>
            </w:r>
            <w:r>
              <w:rPr>
                <w:rFonts w:ascii="Arial" w:cs="Arial" w:eastAsia="Arial" w:hAnsi="Arial"/>
                <w:sz w:val="3"/>
                <w:szCs w:val="3"/>
                <w:color w:val="auto"/>
              </w:rPr>
              <w:t>​   ​</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80" w:type="dxa"/>
            <w:vAlign w:val="bottom"/>
            <w:shd w:val="clear" w:color="auto" w:fill="CCEEFF"/>
          </w:tcPr>
          <w:p>
            <w:pPr>
              <w:ind w:left="20"/>
              <w:spacing w:after="0"/>
              <w:rPr>
                <w:sz w:val="20"/>
                <w:szCs w:val="20"/>
                <w:color w:val="auto"/>
              </w:rPr>
            </w:pPr>
            <w:r>
              <w:rPr>
                <w:rFonts w:ascii="Arial" w:cs="Arial" w:eastAsia="Arial" w:hAnsi="Arial"/>
                <w:sz w:val="4"/>
                <w:szCs w:val="4"/>
                <w:color w:val="auto"/>
              </w:rPr>
              <w:t>​   ​</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2,545,454</w:t>
            </w:r>
            <w:r>
              <w:rPr>
                <w:rFonts w:ascii="Arial" w:cs="Arial" w:eastAsia="Arial" w:hAnsi="Arial"/>
                <w:sz w:val="3"/>
                <w:szCs w:val="3"/>
                <w:color w:val="auto"/>
              </w:rPr>
              <w:t>​   ​</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ind w:left="40"/>
              <w:spacing w:after="0"/>
              <w:rPr>
                <w:sz w:val="20"/>
                <w:szCs w:val="20"/>
                <w:color w:val="auto"/>
              </w:rPr>
            </w:pPr>
            <w:r>
              <w:rPr>
                <w:rFonts w:ascii="Arial" w:cs="Arial" w:eastAsia="Arial" w:hAnsi="Arial"/>
                <w:sz w:val="4"/>
                <w:szCs w:val="4"/>
                <w:color w:val="auto"/>
              </w:rPr>
              <w:t>​   ​</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r>
      <w:tr>
        <w:trPr>
          <w:trHeight w:val="410"/>
        </w:trPr>
        <w:tc>
          <w:tcPr>
            <w:tcW w:w="3660" w:type="dxa"/>
            <w:vAlign w:val="bottom"/>
          </w:tcPr>
          <w:p>
            <w:pPr>
              <w:spacing w:after="0"/>
              <w:rPr>
                <w:sz w:val="20"/>
                <w:szCs w:val="20"/>
                <w:color w:val="auto"/>
              </w:rPr>
            </w:pPr>
            <w:r>
              <w:rPr>
                <w:rFonts w:ascii="Arial" w:cs="Arial" w:eastAsia="Arial" w:hAnsi="Arial"/>
                <w:sz w:val="18"/>
                <w:szCs w:val="18"/>
                <w:color w:val="auto"/>
              </w:rPr>
              <w:t>Graham Macro Strategic Ltd.</w:t>
            </w:r>
            <w:r>
              <w:rPr>
                <w:rFonts w:ascii="Arial" w:cs="Arial" w:eastAsia="Arial" w:hAnsi="Arial"/>
                <w:sz w:val="29"/>
                <w:szCs w:val="29"/>
                <w:color w:val="auto"/>
                <w:vertAlign w:val="superscript"/>
              </w:rPr>
              <w:t>11</w:t>
            </w:r>
          </w:p>
        </w:tc>
        <w:tc>
          <w:tcPr>
            <w:tcW w:w="1320" w:type="dxa"/>
            <w:vAlign w:val="bottom"/>
            <w:gridSpan w:val="2"/>
          </w:tcPr>
          <w:p>
            <w:pPr>
              <w:jc w:val="right"/>
              <w:ind w:right="30"/>
              <w:spacing w:after="0"/>
              <w:rPr>
                <w:sz w:val="20"/>
                <w:szCs w:val="20"/>
                <w:color w:val="auto"/>
              </w:rPr>
            </w:pPr>
            <w:r>
              <w:rPr>
                <w:rFonts w:ascii="Arial" w:cs="Arial" w:eastAsia="Arial" w:hAnsi="Arial"/>
                <w:sz w:val="4"/>
                <w:szCs w:val="4"/>
                <w:color w:val="auto"/>
              </w:rPr>
              <w:t xml:space="preserve">​   ​   </w:t>
            </w:r>
            <w:r>
              <w:rPr>
                <w:rFonts w:ascii="Arial" w:cs="Arial" w:eastAsia="Arial" w:hAnsi="Arial"/>
                <w:sz w:val="17"/>
                <w:szCs w:val="17"/>
                <w:color w:val="auto"/>
              </w:rPr>
              <w:t>13,363,642</w:t>
            </w:r>
            <w:r>
              <w:rPr>
                <w:rFonts w:ascii="Arial" w:cs="Arial" w:eastAsia="Arial" w:hAnsi="Arial"/>
                <w:sz w:val="4"/>
                <w:szCs w:val="4"/>
                <w:color w:val="auto"/>
              </w:rPr>
              <w:t>​   ​</w:t>
            </w:r>
          </w:p>
        </w:tc>
        <w:tc>
          <w:tcPr>
            <w:tcW w:w="680" w:type="dxa"/>
            <w:vAlign w:val="bottom"/>
          </w:tcPr>
          <w:p>
            <w:pPr>
              <w:jc w:val="right"/>
              <w:spacing w:after="0"/>
              <w:rPr>
                <w:sz w:val="20"/>
                <w:szCs w:val="20"/>
                <w:color w:val="auto"/>
              </w:rPr>
            </w:pPr>
            <w:r>
              <w:rPr>
                <w:rFonts w:ascii="Arial" w:cs="Arial" w:eastAsia="Arial" w:hAnsi="Arial"/>
                <w:sz w:val="18"/>
                <w:szCs w:val="18"/>
                <w:color w:val="auto"/>
              </w:rPr>
              <w:t>2.04%</w:t>
            </w:r>
          </w:p>
        </w:tc>
        <w:tc>
          <w:tcPr>
            <w:tcW w:w="1180" w:type="dxa"/>
            <w:vAlign w:val="bottom"/>
            <w:gridSpan w:val="2"/>
          </w:tcPr>
          <w:p>
            <w:pPr>
              <w:jc w:val="right"/>
              <w:spacing w:after="0"/>
              <w:rPr>
                <w:sz w:val="20"/>
                <w:szCs w:val="20"/>
                <w:color w:val="auto"/>
              </w:rPr>
            </w:pPr>
            <w:r>
              <w:rPr>
                <w:rFonts w:ascii="Arial" w:cs="Arial" w:eastAsia="Arial" w:hAnsi="Arial"/>
                <w:sz w:val="4"/>
                <w:szCs w:val="4"/>
                <w:color w:val="auto"/>
              </w:rPr>
              <w:t xml:space="preserve">​   ​   </w:t>
            </w:r>
            <w:r>
              <w:rPr>
                <w:rFonts w:ascii="Arial" w:cs="Arial" w:eastAsia="Arial" w:hAnsi="Arial"/>
                <w:sz w:val="17"/>
                <w:szCs w:val="17"/>
                <w:color w:val="auto"/>
              </w:rPr>
              <w:t>13,363,642</w:t>
            </w:r>
            <w:r>
              <w:rPr>
                <w:rFonts w:ascii="Arial" w:cs="Arial" w:eastAsia="Arial" w:hAnsi="Arial"/>
                <w:sz w:val="4"/>
                <w:szCs w:val="4"/>
                <w:color w:val="auto"/>
              </w:rPr>
              <w:t>​   ​</w:t>
            </w: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ind w:left="40"/>
              <w:spacing w:after="0"/>
              <w:rPr>
                <w:sz w:val="20"/>
                <w:szCs w:val="20"/>
                <w:color w:val="auto"/>
              </w:rPr>
            </w:pPr>
            <w:r>
              <w:rPr>
                <w:rFonts w:ascii="Arial" w:cs="Arial" w:eastAsia="Arial" w:hAnsi="Arial"/>
                <w:sz w:val="4"/>
                <w:szCs w:val="4"/>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82550</wp:posOffset>
            </wp:positionV>
            <wp:extent cx="8229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73" w:lineRule="exact"/>
        <w:rPr>
          <w:sz w:val="20"/>
          <w:szCs w:val="20"/>
          <w:color w:val="auto"/>
        </w:rPr>
      </w:pPr>
    </w:p>
    <w:p>
      <w:pPr>
        <w:ind w:left="660" w:right="339" w:hanging="368"/>
        <w:spacing w:after="0" w:line="273"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Based on 617,857,031 shares of common stock outstanding as of February 28, 2023 and 38,500,000 shares of common stock issuable in the offering.</w:t>
      </w:r>
    </w:p>
    <w:p>
      <w:pPr>
        <w:spacing w:after="0" w:line="12" w:lineRule="exact"/>
        <w:rPr>
          <w:sz w:val="20"/>
          <w:szCs w:val="20"/>
          <w:color w:val="auto"/>
        </w:rPr>
      </w:pPr>
    </w:p>
    <w:p>
      <w:pPr>
        <w:ind w:left="660" w:right="419" w:hanging="368"/>
        <w:spacing w:after="0" w:line="273"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Does not give effect to the issuance of common stock in connection with the conversion of the convertible notes issued in the concurrent convertible notes offering.</w:t>
      </w:r>
    </w:p>
    <w:p>
      <w:pPr>
        <w:spacing w:after="0" w:line="12" w:lineRule="exact"/>
        <w:rPr>
          <w:sz w:val="20"/>
          <w:szCs w:val="20"/>
          <w:color w:val="auto"/>
        </w:rPr>
      </w:pPr>
    </w:p>
    <w:p>
      <w:pPr>
        <w:ind w:left="660" w:right="319" w:hanging="368"/>
        <w:spacing w:after="0" w:line="245"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Aristeia Capital, L.L.C. and Aristeia Advisors, L.L.C. (collectively, “Aristeia”) may be deemed the beneficial owners of the securities described herein in their capacity as the investment manager and/or general partner, as the case may be, of Aristeia Master, L.P., ASIG International Limited, Blue Peak Limited, DS Liquid Div RVA ARST, LLC, and Windermere Cayman Fund Limited (each a “Fund” and collectively, the “Funds”), which are the holders of such securities, as shown below. As investment manager and/or general partner of each Fund, Aristeia has voting and investment control with respect to the securities held by each Fund. Anthony M. Frascella and William R. Techar are the co-Chief Investment Officers of Aristeia. Each of Aristeia and such individuals disclaims beneficial ownership of the securities referenced herein except to the extent of its or his direct or indirect economic interest in the Funds. The address of Aristeia Capital, L.L.C. is One Greenwich Plaza, Suite 300, Greenwich, CT 06830.</w:t>
      </w:r>
    </w:p>
    <w:p>
      <w:pPr>
        <w:spacing w:after="0" w:line="33" w:lineRule="exact"/>
        <w:rPr>
          <w:sz w:val="20"/>
          <w:szCs w:val="20"/>
          <w:color w:val="auto"/>
        </w:rPr>
      </w:pPr>
    </w:p>
    <w:p>
      <w:pPr>
        <w:ind w:left="660" w:right="459" w:hanging="368"/>
        <w:spacing w:after="0" w:line="246" w:lineRule="auto"/>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securities listed above may be deemed to be beneficially owned by Millennium Management LLC, Millennium Group Management LLC and Mr. Englander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the beneficial ownership of the securities held by such entities. The address for Riverview Group (US) LLC is c/o Millennium Management LLC, 399 Park Avenue, New York, New York 10022.</w:t>
      </w:r>
    </w:p>
    <w:p>
      <w:pPr>
        <w:spacing w:after="0" w:line="33" w:lineRule="exact"/>
        <w:rPr>
          <w:sz w:val="20"/>
          <w:szCs w:val="20"/>
          <w:color w:val="auto"/>
        </w:rPr>
      </w:pPr>
    </w:p>
    <w:p>
      <w:pPr>
        <w:ind w:left="660" w:right="439" w:hanging="368"/>
        <w:spacing w:after="0" w:line="273" w:lineRule="auto"/>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DCIG GP LLC is the general partner of DCIG Capital Master Fund LP (“DCMF”); Kai (Steve) Zheng is the managing member and sole owner of DCIG GP LLC and may be deemed to have voting and investment control over the shares held by DCMF.</w:t>
      </w:r>
    </w:p>
    <w:p>
      <w:pPr>
        <w:sectPr>
          <w:pgSz w:w="11900" w:h="16838" w:orient="portrait"/>
          <w:cols w:equalWidth="0" w:num="1">
            <w:col w:w="9019"/>
          </w:cols>
          <w:pgMar w:left="1440" w:top="265" w:right="1440" w:bottom="1440" w:gutter="0" w:footer="0" w:header="0"/>
          <w:type w:val="continuous"/>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123825</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5" w:name="page16"/>
    <w:bookmarkEnd w:id="15"/>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40" w:lineRule="exact"/>
        <w:rPr>
          <w:sz w:val="20"/>
          <w:szCs w:val="20"/>
          <w:color w:val="auto"/>
        </w:rPr>
      </w:pPr>
    </w:p>
    <w:p>
      <w:pPr>
        <w:ind w:left="660" w:right="339"/>
        <w:spacing w:after="0" w:line="257" w:lineRule="auto"/>
        <w:rPr>
          <w:sz w:val="20"/>
          <w:szCs w:val="20"/>
          <w:color w:val="auto"/>
        </w:rPr>
      </w:pPr>
      <w:r>
        <w:rPr>
          <w:rFonts w:ascii="Arial" w:cs="Arial" w:eastAsia="Arial" w:hAnsi="Arial"/>
          <w:sz w:val="14"/>
          <w:szCs w:val="14"/>
          <w:color w:val="auto"/>
        </w:rPr>
        <w:t>Mr. Zheng disclaims beneficial ownership over the shares, except to the extent of his pecuniary interest therein. The address of DCIG Capital Master Fund LP is 546 5th Ave, Floor # 20, New York, New York 10065. The address of Verition Multi-Strategy Master Fund Ltd. is One American Lane, Greenwich, CT, 06831.</w:t>
      </w:r>
    </w:p>
    <w:p>
      <w:pPr>
        <w:spacing w:after="0" w:line="23" w:lineRule="exact"/>
        <w:rPr>
          <w:sz w:val="20"/>
          <w:szCs w:val="20"/>
          <w:color w:val="auto"/>
        </w:rPr>
      </w:pPr>
    </w:p>
    <w:p>
      <w:pPr>
        <w:ind w:left="660" w:right="319" w:hanging="368"/>
        <w:spacing w:after="0" w:line="246" w:lineRule="auto"/>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Shaolin Capital Management LLC, David Puritz and Michael Jester may be deemed the beneficial owners of the securities described above in their capacity as the investment manager, general partner and/or controlling stockholder, as the case may be. Each of Shaolin Capital Management LLC, David Puritz and Michael Jester disclaims beneficial ownership of the securities referenced herein except to the extent of its or his direct or indirect economic interest in the Funds. The address of DS Liquid DIV RVA SCM, LLC is c/o FRM Investment Management (SA) LLC, 1345 Avenue of the Americas, 21st Floor. New York, NY 10105. The address of MAP 214 Segregated Portfolio, a segregated portfolio of LMA SPC and Shaolin Capital Partners SP, a segregated portfolio of PC MAP SPC is c/o Lighthouse Investment Partners, 3801 PGA Blvd, Suite 500, Palm Beach Gardens, FL 33410. The address of Shaolin Capital Partners Master Fund, Ltd. is 230 NW 24TH Street, Suite 603, Miami, FL 33127.</w:t>
      </w:r>
    </w:p>
    <w:p>
      <w:pPr>
        <w:spacing w:after="0" w:line="30" w:lineRule="exact"/>
        <w:rPr>
          <w:sz w:val="20"/>
          <w:szCs w:val="20"/>
          <w:color w:val="auto"/>
        </w:rPr>
      </w:pPr>
    </w:p>
    <w:p>
      <w:pPr>
        <w:ind w:left="660" w:right="359" w:hanging="368"/>
        <w:spacing w:after="0" w:line="257" w:lineRule="auto"/>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Paloma Partners Management Company and Paloma Partners Advisors LP, (the “General Partners”), control Sunrise Partners Limited Partnership, and S. Donald Sussman controls the General Partners. The address of Sunrise Partners Limited Partnership is c/o Paloma Partners Management Company, Two American Lane, Greenwich, Connecticut 06831, USA.</w:t>
      </w:r>
    </w:p>
    <w:p>
      <w:pPr>
        <w:spacing w:after="0" w:line="23" w:lineRule="exact"/>
        <w:rPr>
          <w:sz w:val="20"/>
          <w:szCs w:val="20"/>
          <w:color w:val="auto"/>
        </w:rPr>
      </w:pPr>
    </w:p>
    <w:p>
      <w:pPr>
        <w:ind w:left="660" w:right="359" w:hanging="368"/>
        <w:spacing w:after="0" w:line="246" w:lineRule="auto"/>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Sona Asset Management (UK) LLP, Sona Asset Management Limited, Sona Asset Management Cayman Limited and John Brian Aylward may be deemed the beneficial owners of the securities described above in their capacity as the investment manager, general partner and/or controlling stockholder, as the case may be. Each of Sona Asset Management (UK) LLP, Sona Asset Management Limited, Sona Asset Management Cayman Limited and John Brian Aylward disclaims beneficial ownership of the securities referenced herein except to the extent of its or his direct or indirect economic interest in the Funds. The address of Sona Blue Peak, Ltd. and Sona Credit Master Fund Limited is 20 St James’s Street, London, SW1A 1ES, United Kingdom.</w:t>
      </w:r>
    </w:p>
    <w:p>
      <w:pPr>
        <w:spacing w:after="0" w:line="198" w:lineRule="exact"/>
        <w:rPr>
          <w:sz w:val="20"/>
          <w:szCs w:val="20"/>
          <w:color w:val="auto"/>
        </w:rPr>
      </w:pPr>
    </w:p>
    <w:p>
      <w:pPr>
        <w:ind w:left="660" w:right="419" w:hanging="368"/>
        <w:spacing w:after="0" w:line="257" w:lineRule="auto"/>
        <w:tabs>
          <w:tab w:leader="none" w:pos="6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Context Capital Management, LLC is the general partner of Context Partners Master Fund, LP. Context Capital Management, LLC is controlled by Michael S. Rosen, William D. Fertig and Charles E. Carnegie. The address of Context Partners Master Fund, LP is 7724 Girard Avenue, Third Floor, La Jolla, CA 92037.</w:t>
      </w:r>
    </w:p>
    <w:p>
      <w:pPr>
        <w:spacing w:after="0" w:line="23" w:lineRule="exact"/>
        <w:rPr>
          <w:sz w:val="20"/>
          <w:szCs w:val="20"/>
          <w:color w:val="auto"/>
        </w:rPr>
      </w:pPr>
    </w:p>
    <w:p>
      <w:pPr>
        <w:ind w:left="660" w:right="339" w:hanging="368"/>
        <w:spacing w:after="0" w:line="249" w:lineRule="auto"/>
        <w:tabs>
          <w:tab w:leader="none" w:pos="6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Highbridge Capital Management, LLC is the trading manager of Highbridge Tactical Credit Master Fund, L.P. Highbridge Tactical Credit Master Fund, L.P. disclaims beneficial ownership over these shares. The address of Highbridge Capital Management, LLC is 277 Park Avenue, 23rd Floor, New York, NY 10172, and the address of Highbridge Tactical Credit Master Fund, L.P. is c/o Maples Corporate Services Limited #309 Ugland House, South Church Street, George Town, Grand Cayman KY1-1104, Cayman Islands.</w:t>
      </w:r>
    </w:p>
    <w:p>
      <w:pPr>
        <w:spacing w:after="0" w:line="29" w:lineRule="exact"/>
        <w:rPr>
          <w:sz w:val="20"/>
          <w:szCs w:val="20"/>
          <w:color w:val="auto"/>
        </w:rPr>
      </w:pPr>
    </w:p>
    <w:p>
      <w:pPr>
        <w:ind w:left="660" w:hanging="368"/>
        <w:spacing w:after="0"/>
        <w:tabs>
          <w:tab w:leader="none" w:pos="6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address of Walleye Manager Opportunities LLC is 2800 Niagara Lane North, Plymouth, MN 55447.</w:t>
      </w:r>
    </w:p>
    <w:p>
      <w:pPr>
        <w:spacing w:after="0" w:line="55" w:lineRule="exact"/>
        <w:rPr>
          <w:sz w:val="20"/>
          <w:szCs w:val="20"/>
          <w:color w:val="auto"/>
        </w:rPr>
      </w:pPr>
    </w:p>
    <w:p>
      <w:pPr>
        <w:ind w:left="660" w:right="359" w:hanging="368"/>
        <w:spacing w:after="0" w:line="257" w:lineRule="auto"/>
        <w:tabs>
          <w:tab w:leader="none" w:pos="6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Graham Capital Management, L.P. (“GCM”) is the sole director of Graham Credit Opportunities Ltd. KGT Inc. is the general partner of GCM. Kenneth G. Tropin is also the sole shareholder of KGT Inc. The address for Graham Credit Opportunities Ltd. is c/o Graham Capital Management, L.P., 40 Highland Ave, Rowayton, CT 06853.</w:t>
      </w:r>
    </w:p>
    <w:p>
      <w:pPr>
        <w:spacing w:after="0" w:line="22" w:lineRule="exact"/>
        <w:rPr>
          <w:rFonts w:ascii="Arial" w:cs="Arial" w:eastAsia="Arial" w:hAnsi="Arial"/>
          <w:sz w:val="14"/>
          <w:szCs w:val="14"/>
          <w:color w:val="auto"/>
        </w:rPr>
      </w:pPr>
    </w:p>
    <w:p>
      <w:pPr>
        <w:ind w:left="660" w:right="339" w:hanging="368"/>
        <w:spacing w:after="0" w:line="257" w:lineRule="auto"/>
        <w:tabs>
          <w:tab w:leader="none" w:pos="6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Graham Capital Management, L.P. (“GCM”) is the sole director of Graham Macro Strategic Ltd. KGT Inc. is the general partner of GCM. Kenneth G. Tropin is also the sole shareholder of KGT Inc. The address for Graham Macro Strategic Ltd. is c/o Graham Capital Management, L.P., 40 Highland Ave, Rowayton, CT 06853.</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125095</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 w:name="page17"/>
    <w:bookmarkEnd w:id="16"/>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14" w:lineRule="exact"/>
        <w:rPr>
          <w:sz w:val="20"/>
          <w:szCs w:val="20"/>
          <w:color w:val="auto"/>
        </w:rPr>
      </w:pPr>
    </w:p>
    <w:p>
      <w:pPr>
        <w:ind w:left="300" w:right="299"/>
        <w:spacing w:after="0" w:line="237" w:lineRule="auto"/>
        <w:rPr>
          <w:sz w:val="20"/>
          <w:szCs w:val="20"/>
          <w:color w:val="auto"/>
        </w:rPr>
      </w:pPr>
      <w:r>
        <w:rPr>
          <w:rFonts w:ascii="Arial" w:cs="Arial" w:eastAsia="Arial" w:hAnsi="Arial"/>
          <w:sz w:val="18"/>
          <w:szCs w:val="18"/>
          <w:color w:val="auto"/>
        </w:rPr>
        <w:t>The following discussion is a summary of the material U.S. federal income tax consequences to non-U.S. holders (as defined below) of the purchase, ownership and disposition of our common stock sold pursuant to this offering,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(the “Code”), Treasury Regulations promulgated thereunder,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non-U.S. holder.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common stock.</w:t>
      </w:r>
    </w:p>
    <w:p>
      <w:pPr>
        <w:spacing w:after="0" w:line="83" w:lineRule="exact"/>
        <w:rPr>
          <w:sz w:val="20"/>
          <w:szCs w:val="20"/>
          <w:color w:val="auto"/>
        </w:rPr>
      </w:pPr>
    </w:p>
    <w:p>
      <w:pPr>
        <w:ind w:left="300" w:right="479"/>
        <w:spacing w:after="0" w:line="239" w:lineRule="auto"/>
        <w:rPr>
          <w:sz w:val="20"/>
          <w:szCs w:val="20"/>
          <w:color w:val="auto"/>
        </w:rPr>
      </w:pPr>
      <w:r>
        <w:rPr>
          <w:rFonts w:ascii="Arial" w:cs="Arial" w:eastAsia="Arial" w:hAnsi="Arial"/>
          <w:sz w:val="18"/>
          <w:szCs w:val="18"/>
          <w:color w:val="auto"/>
        </w:rPr>
        <w:t>This discussion is limited to non-U.S. holders that hold our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and the alternative minimum tax. In addition, it does not address consequences relevant to non-U.S. holders subject to special rules, including, without limitation:</w:t>
      </w:r>
    </w:p>
    <w:p>
      <w:pPr>
        <w:spacing w:after="0" w:line="86" w:lineRule="exact"/>
        <w:rPr>
          <w:sz w:val="20"/>
          <w:szCs w:val="20"/>
          <w:color w:val="auto"/>
        </w:rPr>
      </w:pPr>
    </w:p>
    <w:p>
      <w:pPr>
        <w:ind w:left="1020" w:hanging="368"/>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103" w:lineRule="exact"/>
        <w:rPr>
          <w:rFonts w:ascii="Arial" w:cs="Arial" w:eastAsia="Arial" w:hAnsi="Arial"/>
          <w:sz w:val="18"/>
          <w:szCs w:val="18"/>
          <w:color w:val="auto"/>
        </w:rPr>
      </w:pPr>
    </w:p>
    <w:p>
      <w:pPr>
        <w:ind w:left="1020" w:right="499" w:hanging="368"/>
        <w:spacing w:after="0" w:line="260"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persons holding our common stock as part of a hedge, straddle or other risk reduction strategy or as part of a conversion transaction or other integrated investment;</w:t>
      </w:r>
    </w:p>
    <w:p>
      <w:pPr>
        <w:spacing w:after="0" w:line="64" w:lineRule="exact"/>
        <w:rPr>
          <w:rFonts w:ascii="Arial" w:cs="Arial" w:eastAsia="Arial" w:hAnsi="Arial"/>
          <w:sz w:val="18"/>
          <w:szCs w:val="18"/>
          <w:color w:val="auto"/>
        </w:rPr>
      </w:pPr>
    </w:p>
    <w:p>
      <w:pPr>
        <w:ind w:left="1020" w:hanging="368"/>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103" w:lineRule="exact"/>
        <w:rPr>
          <w:rFonts w:ascii="Arial" w:cs="Arial" w:eastAsia="Arial" w:hAnsi="Arial"/>
          <w:sz w:val="18"/>
          <w:szCs w:val="18"/>
          <w:color w:val="auto"/>
        </w:rPr>
      </w:pPr>
    </w:p>
    <w:p>
      <w:pPr>
        <w:ind w:left="1020" w:hanging="368"/>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brokers, dealers or traders in securities;</w:t>
      </w:r>
    </w:p>
    <w:p>
      <w:pPr>
        <w:spacing w:after="0" w:line="103" w:lineRule="exact"/>
        <w:rPr>
          <w:rFonts w:ascii="Arial" w:cs="Arial" w:eastAsia="Arial" w:hAnsi="Arial"/>
          <w:sz w:val="18"/>
          <w:szCs w:val="18"/>
          <w:color w:val="auto"/>
        </w:rPr>
      </w:pPr>
    </w:p>
    <w:p>
      <w:pPr>
        <w:ind w:left="1020" w:right="399" w:hanging="368"/>
        <w:spacing w:after="0" w:line="260"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64" w:lineRule="exact"/>
        <w:rPr>
          <w:rFonts w:ascii="Arial" w:cs="Arial" w:eastAsia="Arial" w:hAnsi="Arial"/>
          <w:sz w:val="18"/>
          <w:szCs w:val="18"/>
          <w:color w:val="auto"/>
        </w:rPr>
      </w:pPr>
    </w:p>
    <w:p>
      <w:pPr>
        <w:ind w:left="1020" w:right="579" w:hanging="368"/>
        <w:spacing w:after="0" w:line="260"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partnerships or other entities or arrangements treated as partnerships for U.S. federal income tax purposes (and investors therein);</w:t>
      </w:r>
    </w:p>
    <w:p>
      <w:pPr>
        <w:spacing w:after="0" w:line="64" w:lineRule="exact"/>
        <w:rPr>
          <w:rFonts w:ascii="Arial" w:cs="Arial" w:eastAsia="Arial" w:hAnsi="Arial"/>
          <w:sz w:val="18"/>
          <w:szCs w:val="18"/>
          <w:color w:val="auto"/>
        </w:rPr>
      </w:pPr>
    </w:p>
    <w:p>
      <w:pPr>
        <w:ind w:left="1020" w:hanging="368"/>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103" w:lineRule="exact"/>
        <w:rPr>
          <w:rFonts w:ascii="Arial" w:cs="Arial" w:eastAsia="Arial" w:hAnsi="Arial"/>
          <w:sz w:val="18"/>
          <w:szCs w:val="18"/>
          <w:color w:val="auto"/>
        </w:rPr>
      </w:pPr>
    </w:p>
    <w:p>
      <w:pPr>
        <w:ind w:left="1020" w:hanging="368"/>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103" w:lineRule="exact"/>
        <w:rPr>
          <w:rFonts w:ascii="Arial" w:cs="Arial" w:eastAsia="Arial" w:hAnsi="Arial"/>
          <w:sz w:val="18"/>
          <w:szCs w:val="18"/>
          <w:color w:val="auto"/>
        </w:rPr>
      </w:pPr>
    </w:p>
    <w:p>
      <w:pPr>
        <w:ind w:left="1020" w:right="419" w:hanging="368"/>
        <w:spacing w:after="0" w:line="260"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persons who hold or receive our common stock pursuant to the exercise of any employee stock option or otherwise as compensation;</w:t>
      </w:r>
    </w:p>
    <w:p>
      <w:pPr>
        <w:spacing w:after="0" w:line="64" w:lineRule="exact"/>
        <w:rPr>
          <w:rFonts w:ascii="Arial" w:cs="Arial" w:eastAsia="Arial" w:hAnsi="Arial"/>
          <w:sz w:val="18"/>
          <w:szCs w:val="18"/>
          <w:color w:val="auto"/>
        </w:rPr>
      </w:pPr>
    </w:p>
    <w:p>
      <w:pPr>
        <w:jc w:val="both"/>
        <w:ind w:left="1020" w:right="779" w:hanging="368"/>
        <w:spacing w:after="0" w:line="289" w:lineRule="auto"/>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persons subject to special tax accounting rules as a result of any item of gross income with respect to our common stock being taken into account in an applicable financial statement;</w:t>
      </w:r>
    </w:p>
    <w:p>
      <w:pPr>
        <w:spacing w:after="0" w:line="42" w:lineRule="exact"/>
        <w:rPr>
          <w:rFonts w:ascii="Arial" w:cs="Arial" w:eastAsia="Arial" w:hAnsi="Arial"/>
          <w:sz w:val="17"/>
          <w:szCs w:val="17"/>
          <w:color w:val="auto"/>
        </w:rPr>
      </w:pPr>
    </w:p>
    <w:p>
      <w:pPr>
        <w:ind w:left="1020" w:hanging="368"/>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tax-qualified retirement plans; and</w:t>
      </w:r>
    </w:p>
    <w:p>
      <w:pPr>
        <w:spacing w:after="0" w:line="103" w:lineRule="exact"/>
        <w:rPr>
          <w:rFonts w:ascii="Arial" w:cs="Arial" w:eastAsia="Arial" w:hAnsi="Arial"/>
          <w:sz w:val="18"/>
          <w:szCs w:val="18"/>
          <w:color w:val="auto"/>
        </w:rPr>
      </w:pPr>
    </w:p>
    <w:p>
      <w:pPr>
        <w:ind w:left="1020" w:right="319" w:hanging="368"/>
        <w:spacing w:after="0" w:line="260"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w:t>
      </w:r>
    </w:p>
    <w:p>
      <w:pPr>
        <w:spacing w:after="0" w:line="65" w:lineRule="exact"/>
        <w:rPr>
          <w:sz w:val="20"/>
          <w:szCs w:val="20"/>
          <w:color w:val="auto"/>
        </w:rPr>
      </w:pPr>
    </w:p>
    <w:p>
      <w:pPr>
        <w:ind w:left="300" w:right="519"/>
        <w:spacing w:after="0" w:line="241" w:lineRule="auto"/>
        <w:rPr>
          <w:sz w:val="20"/>
          <w:szCs w:val="20"/>
          <w:color w:val="auto"/>
        </w:rPr>
      </w:pPr>
      <w:r>
        <w:rPr>
          <w:rFonts w:ascii="Arial" w:cs="Arial" w:eastAsia="Arial" w:hAnsi="Arial"/>
          <w:sz w:val="18"/>
          <w:szCs w:val="18"/>
          <w:color w:val="auto"/>
        </w:rPr>
        <w:t>If an entity or arrangement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125095</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 w:name="page18"/>
    <w:bookmarkEnd w:id="17"/>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2" w:lineRule="exact"/>
        <w:rPr>
          <w:sz w:val="20"/>
          <w:szCs w:val="20"/>
          <w:color w:val="auto"/>
        </w:rPr>
      </w:pPr>
    </w:p>
    <w:p>
      <w:pPr>
        <w:ind w:left="300" w:right="339"/>
        <w:spacing w:after="0" w:line="243" w:lineRule="auto"/>
        <w:rPr>
          <w:sz w:val="20"/>
          <w:szCs w:val="20"/>
          <w:color w:val="auto"/>
        </w:rPr>
      </w:pPr>
      <w:r>
        <w:rPr>
          <w:rFonts w:ascii="Arial" w:cs="Arial" w:eastAsia="Arial" w:hAnsi="Arial"/>
          <w:sz w:val="18"/>
          <w:szCs w:val="18"/>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COMMON STOCK ARISING UNDER THE U.S. FEDERAL ESTATE OR GIFT TAX LAWS OR UNDER THE LAWS OF ANY STATE, LOCAL OR NON-U.S. TAXING JURISDICTION OR UNDER ANY APPLICABLE INCOME TAX TREATY.</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Definition of a non-U.S. holder</w:t>
      </w:r>
    </w:p>
    <w:p>
      <w:pPr>
        <w:spacing w:after="0" w:line="114" w:lineRule="exact"/>
        <w:rPr>
          <w:sz w:val="20"/>
          <w:szCs w:val="20"/>
          <w:color w:val="auto"/>
        </w:rPr>
      </w:pPr>
    </w:p>
    <w:p>
      <w:pPr>
        <w:jc w:val="both"/>
        <w:ind w:left="300" w:right="459"/>
        <w:spacing w:after="0" w:line="243" w:lineRule="auto"/>
        <w:rPr>
          <w:sz w:val="20"/>
          <w:szCs w:val="20"/>
          <w:color w:val="auto"/>
        </w:rPr>
      </w:pPr>
      <w:r>
        <w:rPr>
          <w:rFonts w:ascii="Arial" w:cs="Arial" w:eastAsia="Arial" w:hAnsi="Arial"/>
          <w:sz w:val="18"/>
          <w:szCs w:val="18"/>
          <w:color w:val="auto"/>
        </w:rPr>
        <w:t>For purposes of this discussion, a “non-U.S. holder” is any beneficial owner of our common stock that is neither a “U.S. person” nor an entity or arrangement treated as a partnership for U.S. federal income tax purposes. A U.S. person is any person that, for U.S. federal income tax purposes, is or is treated as any of the following:</w:t>
      </w:r>
    </w:p>
    <w:p>
      <w:pPr>
        <w:spacing w:after="0" w:line="80" w:lineRule="exact"/>
        <w:rPr>
          <w:sz w:val="20"/>
          <w:szCs w:val="20"/>
          <w:color w:val="auto"/>
        </w:rPr>
      </w:pPr>
    </w:p>
    <w:p>
      <w:pPr>
        <w:ind w:left="1020" w:hanging="368"/>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03" w:lineRule="exact"/>
        <w:rPr>
          <w:rFonts w:ascii="Arial" w:cs="Arial" w:eastAsia="Arial" w:hAnsi="Arial"/>
          <w:sz w:val="18"/>
          <w:szCs w:val="18"/>
          <w:color w:val="auto"/>
        </w:rPr>
      </w:pPr>
    </w:p>
    <w:p>
      <w:pPr>
        <w:ind w:left="1020" w:right="399" w:hanging="368"/>
        <w:spacing w:after="0" w:line="260"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corporation created or organized under the laws of the United States, any state thereof, or the District of Columbia;</w:t>
      </w:r>
    </w:p>
    <w:p>
      <w:pPr>
        <w:spacing w:after="0" w:line="64" w:lineRule="exact"/>
        <w:rPr>
          <w:rFonts w:ascii="Arial" w:cs="Arial" w:eastAsia="Arial" w:hAnsi="Arial"/>
          <w:sz w:val="18"/>
          <w:szCs w:val="18"/>
          <w:color w:val="auto"/>
        </w:rPr>
      </w:pPr>
    </w:p>
    <w:p>
      <w:pPr>
        <w:ind w:left="1020" w:hanging="368"/>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03" w:lineRule="exact"/>
        <w:rPr>
          <w:rFonts w:ascii="Arial" w:cs="Arial" w:eastAsia="Arial" w:hAnsi="Arial"/>
          <w:sz w:val="18"/>
          <w:szCs w:val="18"/>
          <w:color w:val="auto"/>
        </w:rPr>
      </w:pPr>
    </w:p>
    <w:p>
      <w:pPr>
        <w:ind w:left="1020" w:right="319" w:hanging="368"/>
        <w:spacing w:after="0" w:line="243"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w:t>
      </w:r>
    </w:p>
    <w:p>
      <w:pPr>
        <w:spacing w:after="0" w:line="32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Distributions</w:t>
      </w:r>
    </w:p>
    <w:p>
      <w:pPr>
        <w:spacing w:after="0" w:line="114" w:lineRule="exact"/>
        <w:rPr>
          <w:sz w:val="20"/>
          <w:szCs w:val="20"/>
          <w:color w:val="auto"/>
        </w:rPr>
      </w:pPr>
    </w:p>
    <w:p>
      <w:pPr>
        <w:ind w:left="300" w:right="419"/>
        <w:spacing w:after="0" w:line="239" w:lineRule="auto"/>
        <w:rPr>
          <w:sz w:val="20"/>
          <w:szCs w:val="20"/>
          <w:color w:val="auto"/>
        </w:rPr>
      </w:pPr>
      <w:r>
        <w:rPr>
          <w:rFonts w:ascii="Arial" w:cs="Arial" w:eastAsia="Arial" w:hAnsi="Arial"/>
          <w:sz w:val="18"/>
          <w:szCs w:val="18"/>
          <w:color w:val="auto"/>
        </w:rPr>
        <w:t>Distributions of cash and other property on our common stock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under “—Sale or other taxable disposition.”</w:t>
      </w:r>
    </w:p>
    <w:p>
      <w:pPr>
        <w:spacing w:after="0" w:line="86" w:lineRule="exact"/>
        <w:rPr>
          <w:sz w:val="20"/>
          <w:szCs w:val="20"/>
          <w:color w:val="auto"/>
        </w:rPr>
      </w:pPr>
    </w:p>
    <w:p>
      <w:pPr>
        <w:ind w:left="300" w:right="319"/>
        <w:spacing w:after="0" w:line="238" w:lineRule="auto"/>
        <w:rPr>
          <w:sz w:val="20"/>
          <w:szCs w:val="20"/>
          <w:color w:val="auto"/>
        </w:rPr>
      </w:pPr>
      <w:r>
        <w:rPr>
          <w:rFonts w:ascii="Arial" w:cs="Arial" w:eastAsia="Arial" w:hAnsi="Arial"/>
          <w:sz w:val="18"/>
          <w:szCs w:val="18"/>
          <w:color w:val="auto"/>
        </w:rPr>
        <w:t>Subject to the discussion below on effectively connected income, dividends paid to a non-U.S. holder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86" w:lineRule="exact"/>
        <w:rPr>
          <w:sz w:val="20"/>
          <w:szCs w:val="20"/>
          <w:color w:val="auto"/>
        </w:rPr>
      </w:pPr>
    </w:p>
    <w:p>
      <w:pPr>
        <w:ind w:left="300" w:right="319"/>
        <w:spacing w:after="0" w:line="239" w:lineRule="auto"/>
        <w:rPr>
          <w:sz w:val="20"/>
          <w:szCs w:val="20"/>
          <w:color w:val="auto"/>
        </w:rPr>
      </w:pPr>
      <w:r>
        <w:rPr>
          <w:rFonts w:ascii="Arial" w:cs="Arial" w:eastAsia="Arial" w:hAnsi="Arial"/>
          <w:sz w:val="18"/>
          <w:szCs w:val="18"/>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83" w:lineRule="exact"/>
        <w:rPr>
          <w:sz w:val="20"/>
          <w:szCs w:val="20"/>
          <w:color w:val="auto"/>
        </w:rPr>
      </w:pPr>
    </w:p>
    <w:p>
      <w:pPr>
        <w:ind w:left="300" w:right="379"/>
        <w:spacing w:after="0" w:line="241" w:lineRule="auto"/>
        <w:rPr>
          <w:sz w:val="20"/>
          <w:szCs w:val="20"/>
          <w:color w:val="auto"/>
        </w:rPr>
      </w:pPr>
      <w:r>
        <w:rPr>
          <w:rFonts w:ascii="Arial" w:cs="Arial" w:eastAsia="Arial" w:hAnsi="Arial"/>
          <w:sz w:val="18"/>
          <w:szCs w:val="18"/>
          <w:color w:val="auto"/>
        </w:rPr>
        <w:t>Any such effectively connected dividends generally will be subject to U.S. federal income tax on a net income basis at the regular rates.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116840</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 w:name="page19"/>
    <w:bookmarkEnd w:id="18"/>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Sale or other taxable disposition</w:t>
      </w:r>
    </w:p>
    <w:p>
      <w:pPr>
        <w:spacing w:after="0" w:line="114" w:lineRule="exact"/>
        <w:rPr>
          <w:sz w:val="20"/>
          <w:szCs w:val="20"/>
          <w:color w:val="auto"/>
        </w:rPr>
      </w:pPr>
    </w:p>
    <w:p>
      <w:pPr>
        <w:ind w:left="300" w:right="719"/>
        <w:spacing w:after="0" w:line="260" w:lineRule="auto"/>
        <w:rPr>
          <w:sz w:val="20"/>
          <w:szCs w:val="20"/>
          <w:color w:val="auto"/>
        </w:rPr>
      </w:pPr>
      <w:r>
        <w:rPr>
          <w:rFonts w:ascii="Arial" w:cs="Arial" w:eastAsia="Arial" w:hAnsi="Arial"/>
          <w:sz w:val="18"/>
          <w:szCs w:val="18"/>
          <w:color w:val="auto"/>
        </w:rPr>
        <w:t>A non-U.S. holder will not be subject to U.S. federal income tax on any gain realized upon the sale or other taxable disposition of our common stock unless:</w:t>
      </w:r>
    </w:p>
    <w:p>
      <w:pPr>
        <w:spacing w:after="0" w:line="65" w:lineRule="exact"/>
        <w:rPr>
          <w:sz w:val="20"/>
          <w:szCs w:val="20"/>
          <w:color w:val="auto"/>
        </w:rPr>
      </w:pPr>
    </w:p>
    <w:p>
      <w:pPr>
        <w:ind w:left="1020" w:right="379" w:hanging="368"/>
        <w:spacing w:after="0" w:line="269" w:lineRule="auto"/>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58" w:lineRule="exact"/>
        <w:rPr>
          <w:rFonts w:ascii="Arial" w:cs="Arial" w:eastAsia="Arial" w:hAnsi="Arial"/>
          <w:sz w:val="17"/>
          <w:szCs w:val="17"/>
          <w:color w:val="auto"/>
        </w:rPr>
      </w:pPr>
    </w:p>
    <w:p>
      <w:pPr>
        <w:ind w:left="1020" w:right="379" w:hanging="368"/>
        <w:spacing w:after="0" w:line="260"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64" w:lineRule="exact"/>
        <w:rPr>
          <w:rFonts w:ascii="Arial" w:cs="Arial" w:eastAsia="Arial" w:hAnsi="Arial"/>
          <w:sz w:val="18"/>
          <w:szCs w:val="18"/>
          <w:color w:val="auto"/>
        </w:rPr>
      </w:pPr>
    </w:p>
    <w:p>
      <w:pPr>
        <w:ind w:left="1020" w:right="419" w:hanging="368"/>
        <w:spacing w:after="0" w:line="260"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common stock constitutes a U.S. real property interest (“USRPI”) by reason of our status as a U.S. real property holding corporation (“USRPHC”) for U.S. federal income tax purposes.</w:t>
      </w:r>
    </w:p>
    <w:p>
      <w:pPr>
        <w:spacing w:after="0" w:line="65" w:lineRule="exact"/>
        <w:rPr>
          <w:sz w:val="20"/>
          <w:szCs w:val="20"/>
          <w:color w:val="auto"/>
        </w:rPr>
      </w:pPr>
    </w:p>
    <w:p>
      <w:pPr>
        <w:ind w:left="300" w:right="379"/>
        <w:spacing w:after="0" w:line="243"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rates. A non-U.S. holder that is a corporation also may be subject to a branch profits tax at a rate of 30% (or such lower rate specified by an applicable income tax treaty) on such effectively connected gain, as adjusted for certain items.</w:t>
      </w:r>
    </w:p>
    <w:p>
      <w:pPr>
        <w:spacing w:after="0" w:line="80" w:lineRule="exact"/>
        <w:rPr>
          <w:sz w:val="20"/>
          <w:szCs w:val="20"/>
          <w:color w:val="auto"/>
        </w:rPr>
      </w:pPr>
    </w:p>
    <w:p>
      <w:pPr>
        <w:ind w:left="300" w:right="399"/>
        <w:spacing w:after="0" w:line="258" w:lineRule="auto"/>
        <w:rPr>
          <w:sz w:val="20"/>
          <w:szCs w:val="20"/>
          <w:color w:val="auto"/>
        </w:rPr>
      </w:pPr>
      <w:r>
        <w:rPr>
          <w:rFonts w:ascii="Arial" w:cs="Arial" w:eastAsia="Arial" w:hAnsi="Arial"/>
          <w:sz w:val="17"/>
          <w:szCs w:val="17"/>
          <w:color w:val="auto"/>
        </w:rPr>
        <w:t>A non-U.S. holder described in the second bullet point above will be subject to U.S. federal income tax at a rate of 30% (or such lower rate specified by an applicable income tax treaty) on gain realized upon the sale or other taxable disposition of our common stock,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70" w:lineRule="exact"/>
        <w:rPr>
          <w:sz w:val="20"/>
          <w:szCs w:val="20"/>
          <w:color w:val="auto"/>
        </w:rPr>
      </w:pPr>
    </w:p>
    <w:p>
      <w:pPr>
        <w:ind w:left="300" w:right="319"/>
        <w:spacing w:after="0" w:line="237" w:lineRule="auto"/>
        <w:rPr>
          <w:sz w:val="20"/>
          <w:szCs w:val="20"/>
          <w:color w:val="auto"/>
        </w:rPr>
      </w:pPr>
      <w:r>
        <w:rPr>
          <w:rFonts w:ascii="Arial" w:cs="Arial" w:eastAsia="Arial" w:hAnsi="Arial"/>
          <w:sz w:val="18"/>
          <w:szCs w:val="18"/>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of our common stock by a non-U.S. holder will not be subject to U.S. federal income tax if our common stock is “regularly traded,” as defined by applicable Treasury Regulations, on an established securities market, and such non-U.S. holder owned, actually and constructively, 5% or less of our common stock throughout the shorter of the five-year period ending on the date of the sale or other taxable disposition or the non-U.S. holder’s holding period.</w:t>
      </w:r>
    </w:p>
    <w:p>
      <w:pPr>
        <w:spacing w:after="0" w:line="89" w:lineRule="exact"/>
        <w:rPr>
          <w:sz w:val="20"/>
          <w:szCs w:val="20"/>
          <w:color w:val="auto"/>
        </w:rPr>
      </w:pPr>
    </w:p>
    <w:p>
      <w:pPr>
        <w:ind w:left="300" w:right="639"/>
        <w:spacing w:after="0" w:line="260" w:lineRule="auto"/>
        <w:rPr>
          <w:sz w:val="20"/>
          <w:szCs w:val="20"/>
          <w:color w:val="auto"/>
        </w:rPr>
      </w:pPr>
      <w:r>
        <w:rPr>
          <w:rFonts w:ascii="Arial" w:cs="Arial" w:eastAsia="Arial" w:hAnsi="Arial"/>
          <w:sz w:val="18"/>
          <w:szCs w:val="18"/>
          <w:color w:val="auto"/>
        </w:rPr>
        <w:t>Non-U.S. holders should consult their tax advisors regarding potentially applicable income tax treaties that may provide for different rules.</w:t>
      </w:r>
    </w:p>
    <w:p>
      <w:pPr>
        <w:spacing w:after="0" w:line="32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14" w:lineRule="exact"/>
        <w:rPr>
          <w:sz w:val="20"/>
          <w:szCs w:val="20"/>
          <w:color w:val="auto"/>
        </w:rPr>
      </w:pPr>
    </w:p>
    <w:p>
      <w:pPr>
        <w:ind w:left="300" w:right="319"/>
        <w:spacing w:after="0" w:line="237" w:lineRule="auto"/>
        <w:rPr>
          <w:sz w:val="20"/>
          <w:szCs w:val="20"/>
          <w:color w:val="auto"/>
        </w:rPr>
      </w:pPr>
      <w:r>
        <w:rPr>
          <w:rFonts w:ascii="Arial" w:cs="Arial" w:eastAsia="Arial" w:hAnsi="Arial"/>
          <w:sz w:val="18"/>
          <w:szCs w:val="18"/>
          <w:color w:val="auto"/>
        </w:rPr>
        <w:t>Payments of dividends on our common stock to a non-U.S. holder will not be subject to backup withholding, provided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distributions on our common stock paid to the non-U.S. holder, regardless of whether such distributions constitute dividends or whether any tax was actually withheld. In addition, proceeds of the sale or other taxable disposition of our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common stock conducted through a non-U.S. office of a non-U.S. broker generally will not be subject to backup withholding or information reporting.</w:t>
      </w:r>
    </w:p>
    <w:p>
      <w:pPr>
        <w:spacing w:after="0" w:line="83" w:lineRule="exact"/>
        <w:rPr>
          <w:sz w:val="20"/>
          <w:szCs w:val="20"/>
          <w:color w:val="auto"/>
        </w:rPr>
      </w:pPr>
    </w:p>
    <w:p>
      <w:pPr>
        <w:ind w:left="300" w:right="399"/>
        <w:spacing w:after="0" w:line="247" w:lineRule="auto"/>
        <w:rPr>
          <w:sz w:val="20"/>
          <w:szCs w:val="20"/>
          <w:color w:val="auto"/>
        </w:rPr>
      </w:pPr>
      <w:r>
        <w:rPr>
          <w:rFonts w:ascii="Arial" w:cs="Arial" w:eastAsia="Arial" w:hAnsi="Arial"/>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116840</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 w:name="page20"/>
    <w:bookmarkEnd w:id="19"/>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2" w:lineRule="exact"/>
        <w:rPr>
          <w:sz w:val="20"/>
          <w:szCs w:val="20"/>
          <w:color w:val="auto"/>
        </w:rPr>
      </w:pPr>
    </w:p>
    <w:p>
      <w:pPr>
        <w:ind w:left="300" w:right="659"/>
        <w:spacing w:after="0" w:line="247"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33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Additional withholding tax on payments made to foreign accounts</w:t>
      </w:r>
    </w:p>
    <w:p>
      <w:pPr>
        <w:spacing w:after="0" w:line="114" w:lineRule="exact"/>
        <w:rPr>
          <w:sz w:val="20"/>
          <w:szCs w:val="20"/>
          <w:color w:val="auto"/>
        </w:rPr>
      </w:pPr>
    </w:p>
    <w:p>
      <w:pPr>
        <w:ind w:left="300" w:right="299"/>
        <w:spacing w:after="0" w:line="236" w:lineRule="auto"/>
        <w:rPr>
          <w:sz w:val="20"/>
          <w:szCs w:val="20"/>
          <w:color w:val="auto"/>
        </w:rPr>
      </w:pPr>
      <w:r>
        <w:rPr>
          <w:rFonts w:ascii="Arial" w:cs="Arial" w:eastAsia="Arial" w:hAnsi="Arial"/>
          <w:sz w:val="18"/>
          <w:szCs w:val="18"/>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90" w:lineRule="exact"/>
        <w:rPr>
          <w:sz w:val="20"/>
          <w:szCs w:val="20"/>
          <w:color w:val="auto"/>
        </w:rPr>
      </w:pPr>
    </w:p>
    <w:p>
      <w:pPr>
        <w:ind w:left="300" w:right="439"/>
        <w:spacing w:after="0" w:line="258" w:lineRule="auto"/>
        <w:rPr>
          <w:sz w:val="20"/>
          <w:szCs w:val="20"/>
          <w:color w:val="auto"/>
        </w:rPr>
      </w:pPr>
      <w:r>
        <w:rPr>
          <w:rFonts w:ascii="Arial" w:cs="Arial" w:eastAsia="Arial" w:hAnsi="Arial"/>
          <w:sz w:val="17"/>
          <w:szCs w:val="17"/>
          <w:color w:val="auto"/>
        </w:rPr>
        <w:t>Under the applicable Treasury Regulations and administrative guidance, withholding under FATCA generally applies to payments of dividends on our common stock. While withholding under FATCA would have applied also to payments of gross proceeds from the sale or other disposition of stock, proposed Treasury Regulations eliminate FATCA withholding on payments of gross proceeds entirely. Taxpayers generally may rely on these proposed Treasury Regulations until final Treasury Regulations are issued.</w:t>
      </w:r>
    </w:p>
    <w:p>
      <w:pPr>
        <w:spacing w:after="0" w:line="70" w:lineRule="exact"/>
        <w:rPr>
          <w:sz w:val="20"/>
          <w:szCs w:val="20"/>
          <w:color w:val="auto"/>
        </w:rPr>
      </w:pPr>
    </w:p>
    <w:p>
      <w:pPr>
        <w:ind w:left="300" w:right="499"/>
        <w:spacing w:after="0" w:line="260" w:lineRule="auto"/>
        <w:rPr>
          <w:sz w:val="20"/>
          <w:szCs w:val="20"/>
          <w:color w:val="auto"/>
        </w:rPr>
      </w:pPr>
      <w:r>
        <w:rPr>
          <w:rFonts w:ascii="Arial" w:cs="Arial" w:eastAsia="Arial" w:hAnsi="Arial"/>
          <w:sz w:val="18"/>
          <w:szCs w:val="18"/>
          <w:color w:val="auto"/>
        </w:rPr>
        <w:t>Prospective investors should consult their tax advisors regarding the potential application of withholding under FATCA to their investment in our common stock.</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116840</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 w:name="page21"/>
    <w:bookmarkEnd w:id="20"/>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114" w:lineRule="exact"/>
        <w:rPr>
          <w:sz w:val="20"/>
          <w:szCs w:val="20"/>
          <w:color w:val="auto"/>
        </w:rPr>
      </w:pPr>
    </w:p>
    <w:p>
      <w:pPr>
        <w:ind w:left="300" w:right="379"/>
        <w:spacing w:after="0" w:line="239" w:lineRule="auto"/>
        <w:rPr>
          <w:sz w:val="20"/>
          <w:szCs w:val="20"/>
          <w:color w:val="auto"/>
        </w:rPr>
      </w:pPr>
      <w:r>
        <w:rPr>
          <w:rFonts w:ascii="Arial" w:cs="Arial" w:eastAsia="Arial" w:hAnsi="Arial"/>
          <w:sz w:val="18"/>
          <w:szCs w:val="18"/>
          <w:color w:val="auto"/>
        </w:rPr>
        <w:t>The borrowed shares being offered pursuant to this prospectus supplement and the accompanying prospectus will be borrowed by the selling stockholders named herein pursuant to a lending arrangement from an affiliate of Jefferies LLC, an underwriter in our concurrent offering of convertible notes, which is borrowing the shares from us. We expect that the selling stockholders will sell the borrowed shares and use the resulting short position to hedge their respective investments in the convertible notes. There can be no assurance that any selling stockholder will sell any or all of the common stock offered pursuant to this prospectus supplement, or the timing of any such sales.</w:t>
      </w:r>
    </w:p>
    <w:p>
      <w:pPr>
        <w:spacing w:after="0" w:line="83" w:lineRule="exact"/>
        <w:rPr>
          <w:sz w:val="20"/>
          <w:szCs w:val="20"/>
          <w:color w:val="auto"/>
        </w:rPr>
      </w:pPr>
    </w:p>
    <w:p>
      <w:pPr>
        <w:ind w:left="300" w:right="359"/>
        <w:spacing w:after="0" w:line="247" w:lineRule="auto"/>
        <w:rPr>
          <w:sz w:val="20"/>
          <w:szCs w:val="20"/>
          <w:color w:val="auto"/>
        </w:rPr>
      </w:pPr>
      <w:r>
        <w:rPr>
          <w:rFonts w:ascii="Arial" w:cs="Arial" w:eastAsia="Arial" w:hAnsi="Arial"/>
          <w:sz w:val="18"/>
          <w:szCs w:val="18"/>
          <w:color w:val="auto"/>
        </w:rPr>
        <w:t>The selling stockholders may sell shares of our common stock included in this prospectus through Jefferies LLC or its affiliates, in privately negotiated transactions, at market prices prevailing at the time of sale, at prices related to the prevailing market prices or at negotiated prices.</w:t>
      </w:r>
    </w:p>
    <w:p>
      <w:pPr>
        <w:spacing w:after="0" w:line="76" w:lineRule="exact"/>
        <w:rPr>
          <w:sz w:val="20"/>
          <w:szCs w:val="20"/>
          <w:color w:val="auto"/>
        </w:rPr>
      </w:pPr>
    </w:p>
    <w:p>
      <w:pPr>
        <w:ind w:left="300" w:right="359"/>
        <w:spacing w:after="0" w:line="260" w:lineRule="auto"/>
        <w:rPr>
          <w:sz w:val="20"/>
          <w:szCs w:val="20"/>
          <w:color w:val="auto"/>
        </w:rPr>
      </w:pPr>
      <w:r>
        <w:rPr>
          <w:rFonts w:ascii="Arial" w:cs="Arial" w:eastAsia="Arial" w:hAnsi="Arial"/>
          <w:sz w:val="18"/>
          <w:szCs w:val="18"/>
          <w:color w:val="auto"/>
        </w:rPr>
        <w:t>In addition, the selling stockholders may sell, through Jefferies LLC or its affiliates, shares of our common stock included in this prospectus through:</w:t>
      </w:r>
    </w:p>
    <w:p>
      <w:pPr>
        <w:spacing w:after="0" w:line="65" w:lineRule="exact"/>
        <w:rPr>
          <w:sz w:val="20"/>
          <w:szCs w:val="20"/>
          <w:color w:val="auto"/>
        </w:rPr>
      </w:pPr>
    </w:p>
    <w:p>
      <w:pPr>
        <w:ind w:left="1020" w:right="559" w:hanging="368"/>
        <w:spacing w:after="0" w:line="260"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block trades in which a broker-dealer may resell a portion of the block, as principal, in order to facilitate the transaction;</w:t>
      </w:r>
    </w:p>
    <w:p>
      <w:pPr>
        <w:spacing w:after="0" w:line="64" w:lineRule="exact"/>
        <w:rPr>
          <w:rFonts w:ascii="Arial" w:cs="Arial" w:eastAsia="Arial" w:hAnsi="Arial"/>
          <w:sz w:val="18"/>
          <w:szCs w:val="18"/>
          <w:color w:val="auto"/>
        </w:rPr>
      </w:pPr>
    </w:p>
    <w:p>
      <w:pPr>
        <w:ind w:left="1020" w:hanging="368"/>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 or</w:t>
      </w:r>
    </w:p>
    <w:p>
      <w:pPr>
        <w:spacing w:after="0" w:line="103" w:lineRule="exact"/>
        <w:rPr>
          <w:rFonts w:ascii="Arial" w:cs="Arial" w:eastAsia="Arial" w:hAnsi="Arial"/>
          <w:sz w:val="18"/>
          <w:szCs w:val="18"/>
          <w:color w:val="auto"/>
        </w:rPr>
      </w:pPr>
    </w:p>
    <w:p>
      <w:pPr>
        <w:ind w:left="1020" w:hanging="368"/>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a broker solicits purchasers.</w:t>
      </w:r>
    </w:p>
    <w:p>
      <w:pPr>
        <w:spacing w:after="0" w:line="104" w:lineRule="exact"/>
        <w:rPr>
          <w:sz w:val="20"/>
          <w:szCs w:val="20"/>
          <w:color w:val="auto"/>
        </w:rPr>
      </w:pPr>
    </w:p>
    <w:p>
      <w:pPr>
        <w:ind w:left="300" w:right="359"/>
        <w:spacing w:after="0" w:line="239" w:lineRule="auto"/>
        <w:rPr>
          <w:sz w:val="20"/>
          <w:szCs w:val="20"/>
          <w:color w:val="auto"/>
        </w:rPr>
      </w:pPr>
      <w:r>
        <w:rPr>
          <w:rFonts w:ascii="Arial" w:cs="Arial" w:eastAsia="Arial" w:hAnsi="Arial"/>
          <w:sz w:val="18"/>
          <w:szCs w:val="18"/>
          <w:color w:val="auto"/>
        </w:rPr>
        <w:t>None of Jefferies LLC, its affiliates or we will receive any proceeds of the offering or sale of the borrowed shares. However, the affiliate of Jefferies LLC that is borrowing the shares has agreed to pay us a one-time nominal fee of $0.0001 per share for each newly-issued share for the use of the borrowed shares. In addition, Jefferies LLC or its affiliates may receive compensation in the form of discounts, concessions or commissions from the selling stockholders and/or from purchasers of borrowed shares for whom the affiliate of Jefferies LLC may act as agent or to whom it may sell as principal and may receive a fee in exchange for lending the borrowed shares.</w:t>
      </w:r>
    </w:p>
    <w:p>
      <w:pPr>
        <w:spacing w:after="0" w:line="83" w:lineRule="exact"/>
        <w:rPr>
          <w:sz w:val="20"/>
          <w:szCs w:val="20"/>
          <w:color w:val="auto"/>
        </w:rPr>
      </w:pPr>
    </w:p>
    <w:p>
      <w:pPr>
        <w:ind w:left="300" w:right="299"/>
        <w:spacing w:after="0" w:line="254" w:lineRule="auto"/>
        <w:rPr>
          <w:sz w:val="20"/>
          <w:szCs w:val="20"/>
          <w:color w:val="auto"/>
        </w:rPr>
      </w:pPr>
      <w:r>
        <w:rPr>
          <w:rFonts w:ascii="Arial" w:cs="Arial" w:eastAsia="Arial" w:hAnsi="Arial"/>
          <w:sz w:val="17"/>
          <w:szCs w:val="17"/>
          <w:color w:val="auto"/>
        </w:rPr>
        <w:t>The selling stockholders and any broker-dealers or other persons acting on our behalf or on the behalf of the selling stockholders that participate with the selling stockholders in the distribution of the securities may be deemed to be underwriters, and any commissions received or profit realized by them on the resale of the securities may be deemed to be underwriting discounts and commissions under the Securities Act. As a result, we have informed the selling stockholders that Regulation M, promulgated under the Exchange Act, may apply to sales by the selling stockholders in the market. The selling stockholders may agree to indemnify any broker, dealer or agent that participates in transactions involving the sale of our common stock against certain liabilities, including liabilities arising under the Securities Act.</w:t>
      </w:r>
    </w:p>
    <w:p>
      <w:pPr>
        <w:spacing w:after="0" w:line="73" w:lineRule="exact"/>
        <w:rPr>
          <w:sz w:val="20"/>
          <w:szCs w:val="20"/>
          <w:color w:val="auto"/>
        </w:rPr>
      </w:pPr>
    </w:p>
    <w:p>
      <w:pPr>
        <w:ind w:left="300" w:right="599"/>
        <w:spacing w:after="0" w:line="260" w:lineRule="auto"/>
        <w:rPr>
          <w:sz w:val="20"/>
          <w:szCs w:val="20"/>
          <w:color w:val="auto"/>
        </w:rPr>
      </w:pPr>
      <w:r>
        <w:rPr>
          <w:rFonts w:ascii="Arial" w:cs="Arial" w:eastAsia="Arial" w:hAnsi="Arial"/>
          <w:sz w:val="18"/>
          <w:szCs w:val="18"/>
          <w:color w:val="auto"/>
        </w:rPr>
        <w:t>We will bear the registration costs relating to the securities offered and sold by the selling stockholders under this registration statement.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125095</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 w:name="page22"/>
    <w:bookmarkEnd w:id="21"/>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14" w:lineRule="exact"/>
        <w:rPr>
          <w:sz w:val="20"/>
          <w:szCs w:val="20"/>
          <w:color w:val="auto"/>
        </w:rPr>
      </w:pPr>
    </w:p>
    <w:p>
      <w:pPr>
        <w:ind w:left="300" w:right="659"/>
        <w:spacing w:after="0" w:line="247" w:lineRule="auto"/>
        <w:rPr>
          <w:sz w:val="20"/>
          <w:szCs w:val="20"/>
          <w:color w:val="auto"/>
        </w:rPr>
      </w:pPr>
      <w:r>
        <w:rPr>
          <w:rFonts w:ascii="Arial" w:cs="Arial" w:eastAsia="Arial" w:hAnsi="Arial"/>
          <w:sz w:val="18"/>
          <w:szCs w:val="18"/>
          <w:color w:val="auto"/>
        </w:rPr>
        <w:t>The validity of the borrowed shares offered hereby will be passed upon for us by DLA Piper LLP (US), New York, New York. The Share Borrower is being represented in connection with this offering by Goodwin Procter LLP, New York, New York.</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14" w:lineRule="exact"/>
        <w:rPr>
          <w:sz w:val="20"/>
          <w:szCs w:val="20"/>
          <w:color w:val="auto"/>
        </w:rPr>
      </w:pPr>
    </w:p>
    <w:p>
      <w:pPr>
        <w:ind w:left="300" w:right="359"/>
        <w:spacing w:after="0" w:line="238" w:lineRule="auto"/>
        <w:rPr>
          <w:sz w:val="20"/>
          <w:szCs w:val="20"/>
          <w:color w:val="auto"/>
        </w:rPr>
      </w:pPr>
      <w:r>
        <w:rPr>
          <w:rFonts w:ascii="Arial" w:cs="Arial" w:eastAsia="Arial" w:hAnsi="Arial"/>
          <w:sz w:val="18"/>
          <w:szCs w:val="18"/>
          <w:color w:val="auto"/>
        </w:rPr>
        <w:t>The financial statements and management’s assessment of the effectiveness of internal control over financial reporting (which is included in Management’s Report on Internal Control over Financial Reporting) incorporated by reference in this prospectus supplement by reference to the Annual Report on Form 10-K for the year ended May 31, 2022, as amended by Amendment No. 1 to our Annual Report on Form 10-K, have been so incorporated in reliance on the report (which contains a paragraph relating to the effectiveness of internal control over financial reporting due to the exclusion of Breckenridge because it was acquired by the Company in a purchase business combination during the year ended May 31, 2022) of PricewaterhouseCoopers LLP, an independent registered public accounting firm, given on the authority of said firm as experts in auditing and accounting.</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116840</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 w:name="page23"/>
    <w:bookmarkEnd w:id="22"/>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14" w:lineRule="exact"/>
        <w:rPr>
          <w:sz w:val="20"/>
          <w:szCs w:val="20"/>
          <w:color w:val="auto"/>
        </w:rPr>
      </w:pPr>
    </w:p>
    <w:p>
      <w:pPr>
        <w:ind w:left="300" w:right="339"/>
        <w:spacing w:after="0" w:line="239" w:lineRule="auto"/>
        <w:rPr>
          <w:sz w:val="20"/>
          <w:szCs w:val="20"/>
          <w:color w:val="auto"/>
        </w:rPr>
      </w:pPr>
      <w:r>
        <w:rPr>
          <w:rFonts w:ascii="Arial" w:cs="Arial" w:eastAsia="Arial" w:hAnsi="Arial"/>
          <w:sz w:val="18"/>
          <w:szCs w:val="18"/>
          <w:color w:val="auto"/>
        </w:rPr>
        <w:t>This prospectus supplement is part of the registration statement on Form S-3 we filed with the SEC under the Securities Act and does not contain all the information set forth or incorporated by reference in the registration statement. Whenever a reference is made in this prospectus supplement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w:t>
      </w:r>
    </w:p>
    <w:p>
      <w:pPr>
        <w:spacing w:after="0" w:line="86" w:lineRule="exact"/>
        <w:rPr>
          <w:sz w:val="20"/>
          <w:szCs w:val="20"/>
          <w:color w:val="auto"/>
        </w:rPr>
      </w:pPr>
    </w:p>
    <w:p>
      <w:pPr>
        <w:ind w:left="300" w:right="419"/>
        <w:spacing w:after="0" w:line="238" w:lineRule="auto"/>
        <w:rPr>
          <w:sz w:val="20"/>
          <w:szCs w:val="20"/>
          <w:color w:val="auto"/>
        </w:rPr>
      </w:pPr>
      <w:r>
        <w:rPr>
          <w:rFonts w:ascii="Arial" w:cs="Arial" w:eastAsia="Arial" w:hAnsi="Arial"/>
          <w:sz w:val="18"/>
          <w:szCs w:val="18"/>
          <w:color w:val="auto"/>
        </w:rPr>
        <w:t>We are required to file periodic reports, proxy statements and other information with the SEC pursuant to the Exchange Act. Our SEC filings are available to the public on the SEC’s website at www.sec.gov, which contains reports, proxies and information statements and other information regarding registrants that file electronically. We also maintain a website at www.tilray.com, at which you may access these materials free of charge as soon as reasonably practicable after they are electronically filed with, or furnished to, the SEC. Information contained on, or that can be accessed through, our website is not a part of this prospectus and the inclusion of our website address in this prospectus supplement is an inactive textual reference only.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125095</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 w:name="page24"/>
    <w:bookmarkEnd w:id="23"/>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114" w:lineRule="exact"/>
        <w:rPr>
          <w:sz w:val="20"/>
          <w:szCs w:val="20"/>
          <w:color w:val="auto"/>
        </w:rPr>
      </w:pPr>
    </w:p>
    <w:p>
      <w:pPr>
        <w:ind w:left="300" w:right="459"/>
        <w:spacing w:after="0" w:line="239" w:lineRule="auto"/>
        <w:rPr>
          <w:sz w:val="20"/>
          <w:szCs w:val="20"/>
          <w:color w:val="auto"/>
        </w:rPr>
      </w:pPr>
      <w:r>
        <w:rPr>
          <w:rFonts w:ascii="Arial" w:cs="Arial" w:eastAsia="Arial" w:hAnsi="Arial"/>
          <w:sz w:val="18"/>
          <w:szCs w:val="18"/>
          <w:color w:val="auto"/>
        </w:rPr>
        <w:t>The SEC allows us to “incorporate by reference” information into this prospectus supplement that we file with the SEC, which means we can disclose important information to you by referring you to those documents. The information incorporated by reference is considered to be a part of this prospectus supplement. We incorporate by reference into this prospectus the documents listed below that we have filed with the SEC. Any report or information within any of the documents referenced below that is furnished, but not filed, shall not be incorporated by reference into this prospectus.</w:t>
      </w:r>
    </w:p>
    <w:p>
      <w:pPr>
        <w:spacing w:after="0" w:line="86" w:lineRule="exact"/>
        <w:rPr>
          <w:sz w:val="20"/>
          <w:szCs w:val="20"/>
          <w:color w:val="auto"/>
        </w:rPr>
      </w:pPr>
    </w:p>
    <w:p>
      <w:pPr>
        <w:ind w:left="1020" w:right="379" w:hanging="368"/>
        <w:spacing w:after="0" w:line="241"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our Annual Report on Form 10-K for the fiscal year ended May 31, 2022, which includes audited financial statements for the latest fiscal year, as filed on </w:t>
      </w:r>
      <w:hyperlink r:id="rId56">
        <w:r>
          <w:rPr>
            <w:rFonts w:ascii="Arial" w:cs="Arial" w:eastAsia="Arial" w:hAnsi="Arial"/>
            <w:sz w:val="18"/>
            <w:szCs w:val="18"/>
            <w:u w:val="single" w:color="auto"/>
            <w:color w:val="0000EE"/>
          </w:rPr>
          <w:t>July 28, 2022</w:t>
        </w:r>
      </w:hyperlink>
      <w:r>
        <w:rPr>
          <w:rFonts w:ascii="Arial" w:cs="Arial" w:eastAsia="Arial" w:hAnsi="Arial"/>
          <w:sz w:val="18"/>
          <w:szCs w:val="18"/>
          <w:color w:val="auto"/>
        </w:rPr>
        <w:t xml:space="preserve">, as amended by Amendment No. 1 to our Annual Report on Form 10-K for the fiscal year ended May 31, 2022 (as amended, the “2022 Form 10-K”), which includes audited financial statements for the latest fiscal year, filed on </w:t>
      </w:r>
      <w:hyperlink r:id="rId57">
        <w:r>
          <w:rPr>
            <w:rFonts w:ascii="Arial" w:cs="Arial" w:eastAsia="Arial" w:hAnsi="Arial"/>
            <w:sz w:val="18"/>
            <w:szCs w:val="18"/>
            <w:u w:val="single" w:color="auto"/>
            <w:color w:val="0000EE"/>
          </w:rPr>
          <w:t>October 7, 2022</w:t>
        </w:r>
      </w:hyperlink>
      <w:r>
        <w:rPr>
          <w:rFonts w:ascii="Arial" w:cs="Arial" w:eastAsia="Arial" w:hAnsi="Arial"/>
          <w:sz w:val="18"/>
          <w:szCs w:val="18"/>
          <w:color w:val="auto"/>
        </w:rPr>
        <w:t>;</w:t>
      </w:r>
    </w:p>
    <w:p>
      <w:pPr>
        <w:spacing w:after="0" w:line="81" w:lineRule="exact"/>
        <w:rPr>
          <w:rFonts w:ascii="Arial" w:cs="Arial" w:eastAsia="Arial" w:hAnsi="Arial"/>
          <w:sz w:val="18"/>
          <w:szCs w:val="18"/>
          <w:color w:val="auto"/>
        </w:rPr>
      </w:pPr>
    </w:p>
    <w:p>
      <w:pPr>
        <w:ind w:left="1020" w:right="319" w:hanging="368"/>
        <w:spacing w:after="0" w:line="247"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the information specifically incorporated by reference into the 2022 Form 10-K from our definitive proxy statement on Schedule 14A filed with the SEC on </w:t>
      </w:r>
      <w:hyperlink r:id="rId58">
        <w:r>
          <w:rPr>
            <w:rFonts w:ascii="Arial" w:cs="Arial" w:eastAsia="Arial" w:hAnsi="Arial"/>
            <w:sz w:val="18"/>
            <w:szCs w:val="18"/>
            <w:u w:val="single" w:color="auto"/>
            <w:color w:val="0000EE"/>
          </w:rPr>
          <w:t>October 3, 2022</w:t>
        </w:r>
      </w:hyperlink>
      <w:r>
        <w:rPr>
          <w:rFonts w:ascii="Arial" w:cs="Arial" w:eastAsia="Arial" w:hAnsi="Arial"/>
          <w:sz w:val="18"/>
          <w:szCs w:val="18"/>
          <w:color w:val="auto"/>
        </w:rPr>
        <w:t>, as well as any amendments thereto reflected in subsequent filings with the SEC;</w:t>
      </w:r>
    </w:p>
    <w:p>
      <w:pPr>
        <w:spacing w:after="0" w:line="76" w:lineRule="exact"/>
        <w:rPr>
          <w:rFonts w:ascii="Arial" w:cs="Arial" w:eastAsia="Arial" w:hAnsi="Arial"/>
          <w:sz w:val="18"/>
          <w:szCs w:val="18"/>
          <w:color w:val="auto"/>
        </w:rPr>
      </w:pPr>
    </w:p>
    <w:p>
      <w:pPr>
        <w:ind w:left="1020" w:right="319" w:hanging="368"/>
        <w:spacing w:after="0" w:line="247" w:lineRule="auto"/>
        <w:tabs>
          <w:tab w:leader="none" w:pos="1020" w:val="left"/>
        </w:tabs>
        <w:numPr>
          <w:ilvl w:val="0"/>
          <w:numId w:val="24"/>
        </w:numPr>
        <w:rPr>
          <w:rFonts w:ascii="Arial" w:cs="Arial" w:eastAsia="Arial" w:hAnsi="Arial"/>
          <w:sz w:val="18"/>
          <w:szCs w:val="18"/>
          <w:color w:val="0000EE"/>
        </w:rPr>
      </w:pPr>
      <w:r>
        <w:rPr>
          <w:rFonts w:ascii="Arial" w:cs="Arial" w:eastAsia="Arial" w:hAnsi="Arial"/>
          <w:sz w:val="18"/>
          <w:szCs w:val="18"/>
          <w:color w:val="auto"/>
        </w:rPr>
        <w:t xml:space="preserve">our Quarterly Reports on Form 10-Q for the three months ended August 31, 2022, November 30, 2022 and February 28, 2023, as filed with the SEC on </w:t>
      </w:r>
      <w:hyperlink r:id="rId59">
        <w:r>
          <w:rPr>
            <w:rFonts w:ascii="Arial" w:cs="Arial" w:eastAsia="Arial" w:hAnsi="Arial"/>
            <w:sz w:val="18"/>
            <w:szCs w:val="18"/>
            <w:u w:val="single" w:color="auto"/>
            <w:color w:val="0000EE"/>
          </w:rPr>
          <w:t>October 7, 2022</w:t>
        </w:r>
      </w:hyperlink>
      <w:r>
        <w:rPr>
          <w:rFonts w:ascii="Arial" w:cs="Arial" w:eastAsia="Arial" w:hAnsi="Arial"/>
          <w:sz w:val="18"/>
          <w:szCs w:val="18"/>
          <w:color w:val="auto"/>
        </w:rPr>
        <w:t xml:space="preserve">, </w:t>
      </w:r>
      <w:hyperlink r:id="rId60">
        <w:r>
          <w:rPr>
            <w:rFonts w:ascii="Arial" w:cs="Arial" w:eastAsia="Arial" w:hAnsi="Arial"/>
            <w:sz w:val="18"/>
            <w:szCs w:val="18"/>
            <w:u w:val="single" w:color="auto"/>
            <w:color w:val="0000EE"/>
          </w:rPr>
          <w:t>January 9, 2023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61">
        <w:r>
          <w:rPr>
            <w:rFonts w:ascii="Arial" w:cs="Arial" w:eastAsia="Arial" w:hAnsi="Arial"/>
            <w:sz w:val="18"/>
            <w:szCs w:val="18"/>
            <w:u w:val="single" w:color="auto"/>
            <w:color w:val="0000EE"/>
          </w:rPr>
          <w:t>April 10, 2023</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respectively;</w:t>
      </w:r>
    </w:p>
    <w:p>
      <w:pPr>
        <w:spacing w:after="0" w:line="76" w:lineRule="exact"/>
        <w:rPr>
          <w:rFonts w:ascii="Arial" w:cs="Arial" w:eastAsia="Arial" w:hAnsi="Arial"/>
          <w:sz w:val="18"/>
          <w:szCs w:val="18"/>
          <w:color w:val="0000EE"/>
        </w:rPr>
      </w:pPr>
    </w:p>
    <w:p>
      <w:pPr>
        <w:ind w:left="1020" w:right="359" w:hanging="368"/>
        <w:spacing w:after="0" w:line="243" w:lineRule="auto"/>
        <w:tabs>
          <w:tab w:leader="none" w:pos="1020" w:val="left"/>
        </w:tabs>
        <w:numPr>
          <w:ilvl w:val="0"/>
          <w:numId w:val="24"/>
        </w:numPr>
        <w:rPr>
          <w:rFonts w:ascii="Arial" w:cs="Arial" w:eastAsia="Arial" w:hAnsi="Arial"/>
          <w:sz w:val="18"/>
          <w:szCs w:val="18"/>
          <w:color w:val="000000"/>
        </w:rPr>
      </w:pPr>
      <w:r>
        <w:rPr>
          <w:rFonts w:ascii="Arial" w:cs="Arial" w:eastAsia="Arial" w:hAnsi="Arial"/>
          <w:sz w:val="18"/>
          <w:szCs w:val="18"/>
          <w:color w:val="auto"/>
        </w:rPr>
        <w:t xml:space="preserve">our Current Reports on Form 8-K, as filed with the SEC on </w:t>
      </w:r>
      <w:hyperlink r:id="rId62">
        <w:r>
          <w:rPr>
            <w:rFonts w:ascii="Arial" w:cs="Arial" w:eastAsia="Arial" w:hAnsi="Arial"/>
            <w:sz w:val="18"/>
            <w:szCs w:val="18"/>
            <w:u w:val="single" w:color="auto"/>
            <w:color w:val="0000EE"/>
          </w:rPr>
          <w:t>August 3, 2022</w:t>
        </w:r>
      </w:hyperlink>
      <w:r>
        <w:rPr>
          <w:rFonts w:ascii="Arial" w:cs="Arial" w:eastAsia="Arial" w:hAnsi="Arial"/>
          <w:sz w:val="18"/>
          <w:szCs w:val="18"/>
          <w:color w:val="auto"/>
        </w:rPr>
        <w:t xml:space="preserve">, </w:t>
      </w:r>
      <w:hyperlink r:id="rId63">
        <w:r>
          <w:rPr>
            <w:rFonts w:ascii="Arial" w:cs="Arial" w:eastAsia="Arial" w:hAnsi="Arial"/>
            <w:sz w:val="18"/>
            <w:szCs w:val="18"/>
            <w:u w:val="single" w:color="auto"/>
            <w:color w:val="0000EE"/>
          </w:rPr>
          <w:t>September 1, 2022</w:t>
        </w:r>
      </w:hyperlink>
      <w:r>
        <w:rPr>
          <w:rFonts w:ascii="Arial" w:cs="Arial" w:eastAsia="Arial" w:hAnsi="Arial"/>
          <w:sz w:val="18"/>
          <w:szCs w:val="18"/>
          <w:color w:val="auto"/>
        </w:rPr>
        <w:t xml:space="preserve">, </w:t>
      </w:r>
      <w:hyperlink r:id="rId64">
        <w:r>
          <w:rPr>
            <w:rFonts w:ascii="Arial" w:cs="Arial" w:eastAsia="Arial" w:hAnsi="Arial"/>
            <w:sz w:val="18"/>
            <w:szCs w:val="18"/>
            <w:u w:val="single" w:color="auto"/>
            <w:color w:val="0000EE"/>
          </w:rPr>
          <w:t>November 7, 2022</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November 23, 2022</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November 29, 2022</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December 6, 2022</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December 20,</w:t>
        </w:r>
      </w:hyperlink>
      <w:r>
        <w:rPr>
          <w:rFonts w:ascii="Arial" w:cs="Arial" w:eastAsia="Arial" w:hAnsi="Arial"/>
          <w:sz w:val="18"/>
          <w:szCs w:val="18"/>
          <w:color w:val="0000EE"/>
        </w:rPr>
        <w:t xml:space="preserve"> </w:t>
      </w:r>
      <w:hyperlink r:id="rId64">
        <w:r>
          <w:rPr>
            <w:rFonts w:ascii="Arial" w:cs="Arial" w:eastAsia="Arial" w:hAnsi="Arial"/>
            <w:sz w:val="18"/>
            <w:szCs w:val="18"/>
            <w:u w:val="single" w:color="auto"/>
            <w:color w:val="0000EE"/>
          </w:rPr>
          <w:t>2022</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65">
        <w:r>
          <w:rPr>
            <w:rFonts w:ascii="Arial" w:cs="Arial" w:eastAsia="Arial" w:hAnsi="Arial"/>
            <w:sz w:val="18"/>
            <w:szCs w:val="18"/>
            <w:u w:val="single" w:color="auto"/>
            <w:color w:val="0000EE"/>
          </w:rPr>
          <w:t>January 18, 2023</w:t>
        </w:r>
      </w:hyperlink>
      <w:hyperlink r:id="rId64">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66">
        <w:r>
          <w:rPr>
            <w:rFonts w:ascii="Arial" w:cs="Arial" w:eastAsia="Arial" w:hAnsi="Arial"/>
            <w:sz w:val="18"/>
            <w:szCs w:val="18"/>
            <w:u w:val="single" w:color="auto"/>
            <w:color w:val="0000EE"/>
          </w:rPr>
          <w:t>February 15, 2023</w:t>
        </w:r>
      </w:hyperlink>
      <w:hyperlink r:id="rId64">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67">
        <w:r>
          <w:rPr>
            <w:rFonts w:ascii="Arial" w:cs="Arial" w:eastAsia="Arial" w:hAnsi="Arial"/>
            <w:sz w:val="18"/>
            <w:szCs w:val="18"/>
            <w:u w:val="single" w:color="auto"/>
            <w:color w:val="0000EE"/>
          </w:rPr>
          <w:t>February 21, 2023</w:t>
        </w:r>
      </w:hyperlink>
      <w:hyperlink r:id="rId64">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68">
        <w:r>
          <w:rPr>
            <w:rFonts w:ascii="Arial" w:cs="Arial" w:eastAsia="Arial" w:hAnsi="Arial"/>
            <w:sz w:val="18"/>
            <w:szCs w:val="18"/>
            <w:u w:val="single" w:color="auto"/>
            <w:color w:val="0000EE"/>
          </w:rPr>
          <w:t>March 7, 2023</w:t>
        </w:r>
      </w:hyperlink>
      <w:hyperlink r:id="rId64">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69">
        <w:r>
          <w:rPr>
            <w:rFonts w:ascii="Arial" w:cs="Arial" w:eastAsia="Arial" w:hAnsi="Arial"/>
            <w:sz w:val="18"/>
            <w:szCs w:val="18"/>
            <w:u w:val="single" w:color="auto"/>
            <w:color w:val="0000EE"/>
          </w:rPr>
          <w:t>March 16, 2023</w:t>
        </w:r>
      </w:hyperlink>
      <w:r>
        <w:rPr>
          <w:rFonts w:ascii="Arial" w:cs="Arial" w:eastAsia="Arial" w:hAnsi="Arial"/>
          <w:sz w:val="18"/>
          <w:szCs w:val="18"/>
          <w:color w:val="0000EE"/>
        </w:rPr>
        <w:t xml:space="preserve"> </w:t>
      </w:r>
      <w:r>
        <w:rPr>
          <w:rFonts w:ascii="Arial" w:cs="Arial" w:eastAsia="Arial" w:hAnsi="Arial"/>
          <w:sz w:val="18"/>
          <w:szCs w:val="18"/>
          <w:color w:val="000000"/>
        </w:rPr>
        <w:t xml:space="preserve">and </w:t>
      </w:r>
      <w:hyperlink r:id="rId70">
        <w:r>
          <w:rPr>
            <w:rFonts w:ascii="Arial" w:cs="Arial" w:eastAsia="Arial" w:hAnsi="Arial"/>
            <w:sz w:val="18"/>
            <w:szCs w:val="18"/>
            <w:u w:val="single" w:color="auto"/>
            <w:color w:val="0000EE"/>
          </w:rPr>
          <w:t>April 10, 2023</w:t>
        </w:r>
      </w:hyperlink>
      <w:r>
        <w:rPr>
          <w:rFonts w:ascii="Arial" w:cs="Arial" w:eastAsia="Arial" w:hAnsi="Arial"/>
          <w:sz w:val="18"/>
          <w:szCs w:val="18"/>
          <w:color w:val="000000"/>
        </w:rPr>
        <w:t>; and</w:t>
      </w:r>
    </w:p>
    <w:p>
      <w:pPr>
        <w:spacing w:after="0" w:line="79" w:lineRule="exact"/>
        <w:rPr>
          <w:rFonts w:ascii="Arial" w:cs="Arial" w:eastAsia="Arial" w:hAnsi="Arial"/>
          <w:sz w:val="18"/>
          <w:szCs w:val="18"/>
          <w:color w:val="000000"/>
        </w:rPr>
      </w:pPr>
    </w:p>
    <w:p>
      <w:pPr>
        <w:ind w:left="1020" w:right="679" w:hanging="368"/>
        <w:spacing w:after="0" w:line="243"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the description of our securities as set forth in our registration statement on Form 8-A/A (File No. 001-38594), as filed with the SEC on </w:t>
      </w:r>
      <w:hyperlink r:id="rId71">
        <w:r>
          <w:rPr>
            <w:rFonts w:ascii="Arial" w:cs="Arial" w:eastAsia="Arial" w:hAnsi="Arial"/>
            <w:sz w:val="18"/>
            <w:szCs w:val="18"/>
            <w:u w:val="single" w:color="auto"/>
            <w:color w:val="0000EE"/>
          </w:rPr>
          <w:t>October 1, 2020</w:t>
        </w:r>
      </w:hyperlink>
      <w:r>
        <w:rPr>
          <w:rFonts w:ascii="Arial" w:cs="Arial" w:eastAsia="Arial" w:hAnsi="Arial"/>
          <w:sz w:val="18"/>
          <w:szCs w:val="18"/>
          <w:color w:val="auto"/>
        </w:rPr>
        <w:t>, pursuant to Section 12(b) of the Exchange Act, including any subsequent amendments or reports filed for the purpose of updating such description.</w:t>
      </w:r>
    </w:p>
    <w:p>
      <w:pPr>
        <w:spacing w:after="0" w:line="80" w:lineRule="exact"/>
        <w:rPr>
          <w:rFonts w:ascii="Arial" w:cs="Arial" w:eastAsia="Arial" w:hAnsi="Arial"/>
          <w:sz w:val="18"/>
          <w:szCs w:val="18"/>
          <w:color w:val="0000EE"/>
        </w:rPr>
      </w:pPr>
    </w:p>
    <w:p>
      <w:pPr>
        <w:ind w:left="300" w:right="319"/>
        <w:spacing w:after="0" w:line="239" w:lineRule="auto"/>
        <w:rPr>
          <w:sz w:val="20"/>
          <w:szCs w:val="20"/>
          <w:color w:val="auto"/>
        </w:rPr>
      </w:pPr>
      <w:r>
        <w:rPr>
          <w:rFonts w:ascii="Arial" w:cs="Arial" w:eastAsia="Arial" w:hAnsi="Arial"/>
          <w:sz w:val="18"/>
          <w:szCs w:val="18"/>
          <w:color w:val="auto"/>
        </w:rPr>
        <w:t>We will furnish without charge to you, on written or oral request, a copy of any or all of the documents incorporated by reference. You should direct any requests for documents to Tilray Brands, Inc., 265 Talbot Street West, Leamington, Ontario, Canada. Copies of the above reports may also be accessed from our web site at ir.tilray.com. Information contained on, or that can be accessed through, our website is not a part of this prospectus supplement and the inclusion of our website address in this prospectus supplement is an inactive textual reference only.</w:t>
      </w:r>
    </w:p>
    <w:p>
      <w:pPr>
        <w:spacing w:after="0" w:line="86" w:lineRule="exact"/>
        <w:rPr>
          <w:rFonts w:ascii="Arial" w:cs="Arial" w:eastAsia="Arial" w:hAnsi="Arial"/>
          <w:sz w:val="18"/>
          <w:szCs w:val="18"/>
          <w:color w:val="0000EE"/>
        </w:rPr>
      </w:pPr>
    </w:p>
    <w:p>
      <w:pPr>
        <w:ind w:left="300" w:right="319"/>
        <w:spacing w:after="0" w:line="238" w:lineRule="auto"/>
        <w:rPr>
          <w:sz w:val="20"/>
          <w:szCs w:val="20"/>
          <w:color w:val="auto"/>
        </w:rPr>
      </w:pPr>
      <w:r>
        <w:rPr>
          <w:rFonts w:ascii="Arial" w:cs="Arial" w:eastAsia="Arial" w:hAnsi="Arial"/>
          <w:sz w:val="18"/>
          <w:szCs w:val="18"/>
          <w:color w:val="auto"/>
        </w:rPr>
        <w:t>We also incorporate by reference in this prospectus supplement any future filings that we make with the SEC under Section 13(a), 13(c), 14 or 15(d) of the Exchange Act until we sell all the securities to which this prospectus supplement relates; provided, however, that we are not incorporating any information furnished under either Item 2.02 or Item 7.01 or any related exhibit furnished under Item 9.01(d) of any Current Report on Form 8-K unless, and except to the extent, specified in any such Current Report on Form 8-K. Any statement contained in a document incorporated or deemed to be incorporated by reference in this prospectus supplement will be deemed modified, superseded or replaced for purposes of this prospectus supplement to the extent that a statement contained in this prospectus supplement modifies, supersedes or replaces such statement.</w:t>
      </w:r>
    </w:p>
    <w:p>
      <w:pPr>
        <w:spacing w:after="0" w:line="191" w:lineRule="exact"/>
        <w:rPr>
          <w:rFonts w:ascii="Arial" w:cs="Arial" w:eastAsia="Arial" w:hAnsi="Arial"/>
          <w:sz w:val="18"/>
          <w:szCs w:val="18"/>
          <w:color w:val="0000EE"/>
        </w:rPr>
      </w:pPr>
    </w:p>
    <w:p>
      <w:pPr>
        <w:jc w:val="center"/>
        <w:ind w:right="19"/>
        <w:spacing w:after="0"/>
        <w:rPr>
          <w:sz w:val="20"/>
          <w:szCs w:val="20"/>
          <w:color w:val="auto"/>
        </w:rPr>
      </w:pPr>
      <w:r>
        <w:rPr>
          <w:rFonts w:ascii="Arial" w:cs="Arial" w:eastAsia="Arial" w:hAnsi="Arial"/>
          <w:sz w:val="18"/>
          <w:szCs w:val="18"/>
          <w:color w:val="auto"/>
        </w:rPr>
        <w:t>S-21</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-636905</wp:posOffset>
            </wp:positionH>
            <wp:positionV relativeFrom="paragraph">
              <wp:posOffset>125095</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 w:name="page25"/>
    <w:bookmarkEnd w:id="24"/>
    <w:p>
      <w:pPr>
        <w:ind w:left="4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1574165</wp:posOffset>
            </wp:positionH>
            <wp:positionV relativeFrom="paragraph">
              <wp:posOffset>180340</wp:posOffset>
            </wp:positionV>
            <wp:extent cx="2580005" cy="6940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3">
                      <a:extLst>
                        <a:ext uri="{28A0092B-C50C-407E-A947-70E740481C1C}"/>
                      </a:extLst>
                    </a:blip>
                    <a:srcRect/>
                    <a:stretch>
                      <a:fillRect/>
                    </a:stretch>
                  </pic:blipFill>
                  <pic:spPr bwMode="auto">
                    <a:xfrm>
                      <a:off x="0" y="0"/>
                      <a:ext cx="2580005"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Class 2 Common Stock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w:t>
      </w:r>
    </w:p>
    <w:p>
      <w:pPr>
        <w:spacing w:after="0" w:line="211" w:lineRule="exact"/>
        <w:rPr>
          <w:sz w:val="20"/>
          <w:szCs w:val="20"/>
          <w:color w:val="auto"/>
        </w:rPr>
      </w:pPr>
    </w:p>
    <w:p>
      <w:pPr>
        <w:ind w:left="400" w:right="419"/>
        <w:spacing w:after="0" w:line="257" w:lineRule="auto"/>
        <w:rPr>
          <w:sz w:val="20"/>
          <w:szCs w:val="20"/>
          <w:color w:val="auto"/>
        </w:rPr>
      </w:pPr>
      <w:r>
        <w:rPr>
          <w:rFonts w:ascii="Arial" w:cs="Arial" w:eastAsia="Arial" w:hAnsi="Arial"/>
          <w:sz w:val="18"/>
          <w:szCs w:val="18"/>
          <w:color w:val="auto"/>
        </w:rPr>
        <w:t>From time to time, we or selling securityholders may offer and sell any combination of the securities described in this prospectus, either individually or in combination with other securities. We or selling securityholders may also offer Class 2 common stock or preferred stock upon conversion of debt securities, Class 2 common stock upon conversion of preferred stock, or Class 2 common stock, preferred stock or debt securities upon the exercise of warrants.</w:t>
      </w:r>
    </w:p>
    <w:p>
      <w:pPr>
        <w:spacing w:after="0" w:line="188" w:lineRule="exact"/>
        <w:rPr>
          <w:sz w:val="20"/>
          <w:szCs w:val="20"/>
          <w:color w:val="auto"/>
        </w:rPr>
      </w:pPr>
    </w:p>
    <w:p>
      <w:pPr>
        <w:ind w:left="400" w:right="479"/>
        <w:spacing w:after="0" w:line="254" w:lineRule="auto"/>
        <w:rPr>
          <w:sz w:val="20"/>
          <w:szCs w:val="20"/>
          <w:color w:val="auto"/>
        </w:rPr>
      </w:pPr>
      <w:r>
        <w:rPr>
          <w:rFonts w:ascii="Arial" w:cs="Arial" w:eastAsia="Arial" w:hAnsi="Arial"/>
          <w:sz w:val="18"/>
          <w:szCs w:val="18"/>
          <w:color w:val="auto"/>
        </w:rPr>
        <w:t>Each time we sell securities pursuant to this prospectus, we will provide the specific terms of these offerings and securities in one or more prospectus supplements and attach it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the documents incorporated by reference, before buying any of the securities being offered.</w:t>
      </w:r>
    </w:p>
    <w:p>
      <w:pPr>
        <w:spacing w:after="0" w:line="195" w:lineRule="exact"/>
        <w:rPr>
          <w:sz w:val="20"/>
          <w:szCs w:val="20"/>
          <w:color w:val="auto"/>
        </w:rPr>
      </w:pPr>
    </w:p>
    <w:p>
      <w:pPr>
        <w:ind w:left="400" w:right="499"/>
        <w:spacing w:after="0" w:line="255" w:lineRule="auto"/>
        <w:rPr>
          <w:sz w:val="20"/>
          <w:szCs w:val="20"/>
          <w:color w:val="auto"/>
        </w:rPr>
      </w:pPr>
      <w:r>
        <w:rPr>
          <w:rFonts w:ascii="Arial" w:cs="Arial" w:eastAsia="Arial" w:hAnsi="Arial"/>
          <w:sz w:val="18"/>
          <w:szCs w:val="18"/>
          <w:color w:val="auto"/>
        </w:rPr>
        <w:t>Our Class 2 common stock is listed on The Nasdaq Global Select Market and the Toronto Stock Exchange under the trading symbol “TLRY.” On October 4, 2022, the last sale price of our Class 2 common stock was $3.00 per share on The Nasdaq Global Select Market and C$4.05 per share on the Toronto Stock Exchange. The applicable prospectus supplement will contain information, where applicable, as to other listings, if any, on The Nasdaq Global Select Market or other securities exchange of the securities covered by the applicable prospectus supplement.</w:t>
      </w:r>
    </w:p>
    <w:p>
      <w:pPr>
        <w:spacing w:after="0" w:line="192" w:lineRule="exact"/>
        <w:rPr>
          <w:sz w:val="20"/>
          <w:szCs w:val="20"/>
          <w:color w:val="auto"/>
        </w:rPr>
      </w:pPr>
    </w:p>
    <w:p>
      <w:pPr>
        <w:ind w:left="400" w:right="559"/>
        <w:spacing w:after="0" w:line="327" w:lineRule="auto"/>
        <w:rPr>
          <w:sz w:val="20"/>
          <w:szCs w:val="20"/>
          <w:color w:val="auto"/>
        </w:rPr>
      </w:pPr>
      <w:r>
        <w:rPr>
          <w:rFonts w:ascii="Arial" w:cs="Arial" w:eastAsia="Arial" w:hAnsi="Arial"/>
          <w:sz w:val="15"/>
          <w:szCs w:val="15"/>
          <w:b w:val="1"/>
          <w:bCs w:val="1"/>
          <w:i w:val="1"/>
          <w:iCs w:val="1"/>
          <w:color w:val="auto"/>
        </w:rPr>
        <w:t>Investing in our securities involves a high degree of risk. You should review carefully the risks and uncertainties described under the heading “Risk Factors” contained in the applicable prospectus supplement and in any free writing prospectuses we have authorized for use in connection with a specific offering, and under similar headings in the documents that are incorporated by reference into this prospectus.</w:t>
      </w:r>
    </w:p>
    <w:p>
      <w:pPr>
        <w:spacing w:after="0" w:line="136" w:lineRule="exact"/>
        <w:rPr>
          <w:sz w:val="20"/>
          <w:szCs w:val="20"/>
          <w:color w:val="auto"/>
        </w:rPr>
      </w:pPr>
    </w:p>
    <w:p>
      <w:pPr>
        <w:ind w:left="400" w:right="459"/>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date of this prospectus is October 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5" w:name="page26"/>
    <w:bookmarkEnd w:id="25"/>
    <w:tbl>
      <w:tblPr>
        <w:tblLayout w:type="fixed"/>
        <w:tblInd w:w="300" w:type="dxa"/>
        <w:tblCellMar>
          <w:top w:w="0" w:type="dxa"/>
          <w:left w:w="0" w:type="dxa"/>
          <w:bottom w:w="0" w:type="dxa"/>
          <w:right w:w="0" w:type="dxa"/>
        </w:tblCellMar>
      </w:tblPr>
      <w:tr>
        <w:trPr>
          <w:trHeight w:val="161"/>
        </w:trPr>
        <w:tc>
          <w:tcPr>
            <w:tcW w:w="5320" w:type="dxa"/>
            <w:vAlign w:val="bottom"/>
            <w:gridSpan w:val="16"/>
          </w:tcPr>
          <w:p>
            <w:pPr>
              <w:spacing w:after="0"/>
              <w:rPr>
                <w:sz w:val="20"/>
                <w:szCs w:val="20"/>
                <w:color w:val="auto"/>
              </w:rPr>
            </w:pPr>
            <w:r>
              <w:rPr>
                <w:rFonts w:ascii="Arial" w:cs="Arial" w:eastAsia="Arial" w:hAnsi="Arial"/>
                <w:sz w:val="14"/>
                <w:szCs w:val="14"/>
                <w:b w:val="1"/>
                <w:bCs w:val="1"/>
                <w:color w:val="0000EE"/>
              </w:rPr>
              <w:t>TABLE OF CONTENTS</w:t>
            </w:r>
          </w:p>
        </w:tc>
        <w:tc>
          <w:tcPr>
            <w:tcW w:w="2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44"/>
        </w:trPr>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00" w:type="dxa"/>
            <w:vAlign w:val="bottom"/>
            <w:gridSpan w:val="3"/>
          </w:tcPr>
          <w:p>
            <w:pPr>
              <w:ind w:left="220"/>
              <w:spacing w:after="0"/>
              <w:rPr>
                <w:sz w:val="20"/>
                <w:szCs w:val="20"/>
                <w:color w:val="auto"/>
              </w:rPr>
            </w:pPr>
            <w:r>
              <w:rPr>
                <w:rFonts w:ascii="Arial" w:cs="Arial" w:eastAsia="Arial" w:hAnsi="Arial"/>
                <w:sz w:val="18"/>
                <w:szCs w:val="18"/>
                <w:b w:val="1"/>
                <w:bCs w:val="1"/>
                <w:color w:val="auto"/>
              </w:rPr>
              <w:t>TABLE OF CONTENTS</w:t>
            </w:r>
          </w:p>
        </w:tc>
        <w:tc>
          <w:tcPr>
            <w:tcW w:w="2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1"/>
        </w:trPr>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289"/>
        </w:trPr>
        <w:tc>
          <w:tcPr>
            <w:tcW w:w="5320" w:type="dxa"/>
            <w:vAlign w:val="bottom"/>
            <w:tcBorders>
              <w:bottom w:val="single" w:sz="8" w:color="CCEEFF"/>
            </w:tcBorders>
            <w:gridSpan w:val="16"/>
            <w:shd w:val="clear" w:color="auto" w:fill="CCEEFF"/>
          </w:tcPr>
          <w:p>
            <w:pPr>
              <w:spacing w:after="0"/>
              <w:rPr>
                <w:sz w:val="20"/>
                <w:szCs w:val="20"/>
                <w:color w:val="auto"/>
              </w:rPr>
            </w:pPr>
            <w:r>
              <w:rPr>
                <w:rFonts w:ascii="Arial" w:cs="Arial" w:eastAsia="Arial" w:hAnsi="Arial"/>
                <w:sz w:val="18"/>
                <w:szCs w:val="18"/>
                <w:color w:val="0000EE"/>
              </w:rPr>
              <w:t>ABOUT THIS PROSPECTUS</w:t>
            </w:r>
          </w:p>
        </w:tc>
        <w:tc>
          <w:tcPr>
            <w:tcW w:w="2560" w:type="dxa"/>
            <w:vAlign w:val="bottom"/>
            <w:tcBorders>
              <w:bottom w:val="single" w:sz="8" w:color="CCEEFF"/>
            </w:tcBorders>
            <w:shd w:val="clear" w:color="auto" w:fill="CCEEFF"/>
          </w:tcPr>
          <w:p>
            <w:pPr>
              <w:ind w:left="2440"/>
              <w:spacing w:after="0"/>
              <w:rPr>
                <w:sz w:val="20"/>
                <w:szCs w:val="20"/>
                <w:color w:val="auto"/>
              </w:rPr>
            </w:pPr>
            <w:r>
              <w:rPr>
                <w:rFonts w:ascii="Arial" w:cs="Arial" w:eastAsia="Arial" w:hAnsi="Arial"/>
                <w:sz w:val="4"/>
                <w:szCs w:val="4"/>
                <w:color w:val="auto"/>
              </w:rPr>
              <w:t>​</w:t>
            </w:r>
          </w:p>
        </w:tc>
        <w:tc>
          <w:tcPr>
            <w:tcW w:w="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4"/>
                <w:szCs w:val="4"/>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00EE"/>
                <w:w w:val="99"/>
              </w:rPr>
              <w:t>ii</w:t>
            </w:r>
          </w:p>
        </w:tc>
      </w:tr>
      <w:tr>
        <w:trPr>
          <w:trHeight w:val="74"/>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1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5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r>
      <w:tr>
        <w:trPr>
          <w:trHeight w:val="172"/>
        </w:trPr>
        <w:tc>
          <w:tcPr>
            <w:tcW w:w="5320" w:type="dxa"/>
            <w:vAlign w:val="bottom"/>
            <w:gridSpan w:val="16"/>
          </w:tcPr>
          <w:p>
            <w:pPr>
              <w:spacing w:after="0" w:line="162" w:lineRule="exact"/>
              <w:rPr>
                <w:sz w:val="20"/>
                <w:szCs w:val="20"/>
                <w:color w:val="auto"/>
              </w:rPr>
            </w:pPr>
            <w:r>
              <w:rPr>
                <w:rFonts w:ascii="Arial" w:cs="Arial" w:eastAsia="Arial" w:hAnsi="Arial"/>
                <w:sz w:val="18"/>
                <w:szCs w:val="18"/>
                <w:color w:val="0000EE"/>
              </w:rPr>
              <w:t>PROSPECTUS SUMMARY</w:t>
            </w:r>
          </w:p>
        </w:tc>
        <w:tc>
          <w:tcPr>
            <w:tcW w:w="2560" w:type="dxa"/>
            <w:vAlign w:val="bottom"/>
          </w:tcPr>
          <w:p>
            <w:pPr>
              <w:ind w:left="2440"/>
              <w:spacing w:after="0"/>
              <w:rPr>
                <w:sz w:val="20"/>
                <w:szCs w:val="20"/>
                <w:color w:val="auto"/>
              </w:rPr>
            </w:pPr>
            <w:r>
              <w:rPr>
                <w:rFonts w:ascii="Arial" w:cs="Arial" w:eastAsia="Arial" w:hAnsi="Arial"/>
                <w:sz w:val="4"/>
                <w:szCs w:val="4"/>
                <w:color w:val="auto"/>
              </w:rPr>
              <w:t>​</w:t>
            </w:r>
          </w:p>
        </w:tc>
        <w:tc>
          <w:tcPr>
            <w:tcW w:w="240" w:type="dxa"/>
            <w:vAlign w:val="bottom"/>
          </w:tcPr>
          <w:p>
            <w:pPr>
              <w:ind w:left="120"/>
              <w:spacing w:after="0"/>
              <w:rPr>
                <w:sz w:val="20"/>
                <w:szCs w:val="20"/>
                <w:color w:val="auto"/>
              </w:rPr>
            </w:pPr>
            <w:r>
              <w:rPr>
                <w:rFonts w:ascii="Arial" w:cs="Arial" w:eastAsia="Arial" w:hAnsi="Arial"/>
                <w:sz w:val="4"/>
                <w:szCs w:val="4"/>
                <w:color w:val="auto"/>
              </w:rPr>
              <w:t>​</w:t>
            </w:r>
          </w:p>
        </w:tc>
        <w:tc>
          <w:tcPr>
            <w:tcW w:w="300" w:type="dxa"/>
            <w:vAlign w:val="bottom"/>
            <w:gridSpan w:val="3"/>
          </w:tcPr>
          <w:p>
            <w:pPr>
              <w:jc w:val="right"/>
              <w:spacing w:after="0" w:line="162" w:lineRule="exact"/>
              <w:rPr>
                <w:sz w:val="20"/>
                <w:szCs w:val="20"/>
                <w:color w:val="auto"/>
              </w:rPr>
            </w:pPr>
            <w:r>
              <w:rPr>
                <w:rFonts w:ascii="Arial" w:cs="Arial" w:eastAsia="Arial" w:hAnsi="Arial"/>
                <w:sz w:val="18"/>
                <w:szCs w:val="18"/>
                <w:color w:val="0000EE"/>
              </w:rPr>
              <w:t>1</w:t>
            </w:r>
          </w:p>
        </w:tc>
      </w:tr>
      <w:tr>
        <w:trPr>
          <w:trHeight w:val="58"/>
        </w:trPr>
        <w:tc>
          <w:tcPr>
            <w:tcW w:w="760" w:type="dxa"/>
            <w:vAlign w:val="bottom"/>
            <w:tcBorders>
              <w:bottom w:val="single" w:sz="8" w:color="0000EE"/>
            </w:tcBorders>
          </w:tcPr>
          <w:p>
            <w:pPr>
              <w:spacing w:after="0"/>
              <w:rPr>
                <w:sz w:val="5"/>
                <w:szCs w:val="5"/>
                <w:color w:val="auto"/>
              </w:rPr>
            </w:pPr>
          </w:p>
        </w:tc>
        <w:tc>
          <w:tcPr>
            <w:tcW w:w="480" w:type="dxa"/>
            <w:vAlign w:val="bottom"/>
            <w:tcBorders>
              <w:bottom w:val="single" w:sz="8" w:color="0000EE"/>
            </w:tcBorders>
          </w:tcPr>
          <w:p>
            <w:pPr>
              <w:spacing w:after="0"/>
              <w:rPr>
                <w:sz w:val="5"/>
                <w:szCs w:val="5"/>
                <w:color w:val="auto"/>
              </w:rPr>
            </w:pPr>
          </w:p>
        </w:tc>
        <w:tc>
          <w:tcPr>
            <w:tcW w:w="200" w:type="dxa"/>
            <w:vAlign w:val="bottom"/>
            <w:tcBorders>
              <w:bottom w:val="single" w:sz="8" w:color="0000EE"/>
            </w:tcBorders>
          </w:tcPr>
          <w:p>
            <w:pPr>
              <w:spacing w:after="0"/>
              <w:rPr>
                <w:sz w:val="5"/>
                <w:szCs w:val="5"/>
                <w:color w:val="auto"/>
              </w:rPr>
            </w:pPr>
          </w:p>
        </w:tc>
        <w:tc>
          <w:tcPr>
            <w:tcW w:w="80" w:type="dxa"/>
            <w:vAlign w:val="bottom"/>
            <w:tcBorders>
              <w:bottom w:val="single" w:sz="8" w:color="0000EE"/>
            </w:tcBorders>
          </w:tcPr>
          <w:p>
            <w:pPr>
              <w:spacing w:after="0"/>
              <w:rPr>
                <w:sz w:val="5"/>
                <w:szCs w:val="5"/>
                <w:color w:val="auto"/>
              </w:rPr>
            </w:pPr>
          </w:p>
        </w:tc>
        <w:tc>
          <w:tcPr>
            <w:tcW w:w="60" w:type="dxa"/>
            <w:vAlign w:val="bottom"/>
            <w:tcBorders>
              <w:bottom w:val="single" w:sz="8" w:color="0000EE"/>
            </w:tcBorders>
          </w:tcPr>
          <w:p>
            <w:pPr>
              <w:spacing w:after="0"/>
              <w:rPr>
                <w:sz w:val="5"/>
                <w:szCs w:val="5"/>
                <w:color w:val="auto"/>
              </w:rPr>
            </w:pPr>
          </w:p>
        </w:tc>
        <w:tc>
          <w:tcPr>
            <w:tcW w:w="460" w:type="dxa"/>
            <w:vAlign w:val="bottom"/>
            <w:tcBorders>
              <w:bottom w:val="single" w:sz="8" w:color="0000EE"/>
            </w:tcBorders>
          </w:tcPr>
          <w:p>
            <w:pPr>
              <w:spacing w:after="0"/>
              <w:rPr>
                <w:sz w:val="5"/>
                <w:szCs w:val="5"/>
                <w:color w:val="auto"/>
              </w:rPr>
            </w:pPr>
          </w:p>
        </w:tc>
        <w:tc>
          <w:tcPr>
            <w:tcW w:w="40" w:type="dxa"/>
            <w:vAlign w:val="bottom"/>
            <w:tcBorders>
              <w:bottom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Borders>
              <w:bottom w:val="single" w:sz="8" w:color="0000EE"/>
            </w:tcBorders>
          </w:tcPr>
          <w:p>
            <w:pPr>
              <w:spacing w:after="0"/>
              <w:rPr>
                <w:sz w:val="5"/>
                <w:szCs w:val="5"/>
                <w:color w:val="auto"/>
              </w:rPr>
            </w:pPr>
          </w:p>
        </w:tc>
      </w:tr>
      <w:tr>
        <w:trPr>
          <w:trHeight w:val="75"/>
        </w:trPr>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34"/>
        </w:trPr>
        <w:tc>
          <w:tcPr>
            <w:tcW w:w="5320" w:type="dxa"/>
            <w:vAlign w:val="bottom"/>
            <w:tcBorders>
              <w:bottom w:val="single" w:sz="8" w:color="CCEEFF"/>
            </w:tcBorders>
            <w:gridSpan w:val="16"/>
            <w:shd w:val="clear" w:color="auto" w:fill="CCEEFF"/>
          </w:tcPr>
          <w:p>
            <w:pPr>
              <w:spacing w:after="0" w:line="162" w:lineRule="exact"/>
              <w:rPr>
                <w:sz w:val="20"/>
                <w:szCs w:val="20"/>
                <w:color w:val="auto"/>
              </w:rPr>
            </w:pPr>
            <w:r>
              <w:rPr>
                <w:rFonts w:ascii="Arial" w:cs="Arial" w:eastAsia="Arial" w:hAnsi="Arial"/>
                <w:sz w:val="18"/>
                <w:szCs w:val="18"/>
                <w:color w:val="0000EE"/>
              </w:rPr>
              <w:t>RISK FACTORS</w:t>
            </w:r>
          </w:p>
        </w:tc>
        <w:tc>
          <w:tcPr>
            <w:tcW w:w="2560" w:type="dxa"/>
            <w:vAlign w:val="bottom"/>
            <w:tcBorders>
              <w:bottom w:val="single" w:sz="8" w:color="CCEEFF"/>
            </w:tcBorders>
            <w:shd w:val="clear" w:color="auto" w:fill="CCEEFF"/>
          </w:tcPr>
          <w:p>
            <w:pPr>
              <w:ind w:left="2440"/>
              <w:spacing w:after="0"/>
              <w:rPr>
                <w:sz w:val="20"/>
                <w:szCs w:val="20"/>
                <w:color w:val="auto"/>
              </w:rPr>
            </w:pPr>
            <w:r>
              <w:rPr>
                <w:rFonts w:ascii="Arial" w:cs="Arial" w:eastAsia="Arial" w:hAnsi="Arial"/>
                <w:sz w:val="4"/>
                <w:szCs w:val="4"/>
                <w:color w:val="auto"/>
              </w:rPr>
              <w:t>​</w:t>
            </w:r>
          </w:p>
        </w:tc>
        <w:tc>
          <w:tcPr>
            <w:tcW w:w="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4"/>
                <w:szCs w:val="4"/>
                <w:color w:val="auto"/>
              </w:rPr>
              <w:t>​</w:t>
            </w:r>
          </w:p>
        </w:tc>
        <w:tc>
          <w:tcPr>
            <w:tcW w:w="300" w:type="dxa"/>
            <w:vAlign w:val="bottom"/>
            <w:tcBorders>
              <w:bottom w:val="single" w:sz="8" w:color="CCEEFF"/>
            </w:tcBorders>
            <w:gridSpan w:val="3"/>
            <w:shd w:val="clear" w:color="auto" w:fill="CCEEFF"/>
          </w:tcPr>
          <w:p>
            <w:pPr>
              <w:jc w:val="right"/>
              <w:spacing w:after="0" w:line="162" w:lineRule="exact"/>
              <w:rPr>
                <w:sz w:val="20"/>
                <w:szCs w:val="20"/>
                <w:color w:val="auto"/>
              </w:rPr>
            </w:pPr>
            <w:r>
              <w:rPr>
                <w:rFonts w:ascii="Arial" w:cs="Arial" w:eastAsia="Arial" w:hAnsi="Arial"/>
                <w:sz w:val="18"/>
                <w:szCs w:val="18"/>
                <w:color w:val="0000EE"/>
              </w:rPr>
              <w:t>4</w:t>
            </w:r>
          </w:p>
        </w:tc>
      </w:tr>
      <w:tr>
        <w:trPr>
          <w:trHeight w:val="74"/>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1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5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r>
      <w:tr>
        <w:trPr>
          <w:trHeight w:val="172"/>
        </w:trPr>
        <w:tc>
          <w:tcPr>
            <w:tcW w:w="5320" w:type="dxa"/>
            <w:vAlign w:val="bottom"/>
            <w:gridSpan w:val="16"/>
          </w:tcPr>
          <w:p>
            <w:pPr>
              <w:spacing w:after="0" w:line="162" w:lineRule="exact"/>
              <w:rPr>
                <w:sz w:val="20"/>
                <w:szCs w:val="20"/>
                <w:color w:val="auto"/>
              </w:rPr>
            </w:pPr>
            <w:r>
              <w:rPr>
                <w:rFonts w:ascii="Arial" w:cs="Arial" w:eastAsia="Arial" w:hAnsi="Arial"/>
                <w:sz w:val="18"/>
                <w:szCs w:val="18"/>
                <w:color w:val="0000EE"/>
                <w:w w:val="95"/>
              </w:rPr>
              <w:t>SPECIAL NOTE REGARDING FORWARD-LOOKING STATEMENTS</w:t>
            </w:r>
          </w:p>
        </w:tc>
        <w:tc>
          <w:tcPr>
            <w:tcW w:w="2560" w:type="dxa"/>
            <w:vAlign w:val="bottom"/>
          </w:tcPr>
          <w:p>
            <w:pPr>
              <w:ind w:left="2440"/>
              <w:spacing w:after="0"/>
              <w:rPr>
                <w:sz w:val="20"/>
                <w:szCs w:val="20"/>
                <w:color w:val="auto"/>
              </w:rPr>
            </w:pPr>
            <w:r>
              <w:rPr>
                <w:rFonts w:ascii="Arial" w:cs="Arial" w:eastAsia="Arial" w:hAnsi="Arial"/>
                <w:sz w:val="4"/>
                <w:szCs w:val="4"/>
                <w:color w:val="auto"/>
              </w:rPr>
              <w:t>​</w:t>
            </w:r>
          </w:p>
        </w:tc>
        <w:tc>
          <w:tcPr>
            <w:tcW w:w="240" w:type="dxa"/>
            <w:vAlign w:val="bottom"/>
          </w:tcPr>
          <w:p>
            <w:pPr>
              <w:ind w:left="120"/>
              <w:spacing w:after="0"/>
              <w:rPr>
                <w:sz w:val="20"/>
                <w:szCs w:val="20"/>
                <w:color w:val="auto"/>
              </w:rPr>
            </w:pPr>
            <w:r>
              <w:rPr>
                <w:rFonts w:ascii="Arial" w:cs="Arial" w:eastAsia="Arial" w:hAnsi="Arial"/>
                <w:sz w:val="4"/>
                <w:szCs w:val="4"/>
                <w:color w:val="auto"/>
              </w:rPr>
              <w:t>​</w:t>
            </w:r>
          </w:p>
        </w:tc>
        <w:tc>
          <w:tcPr>
            <w:tcW w:w="300" w:type="dxa"/>
            <w:vAlign w:val="bottom"/>
            <w:gridSpan w:val="3"/>
          </w:tcPr>
          <w:p>
            <w:pPr>
              <w:jc w:val="right"/>
              <w:spacing w:after="0" w:line="162" w:lineRule="exact"/>
              <w:rPr>
                <w:sz w:val="20"/>
                <w:szCs w:val="20"/>
                <w:color w:val="auto"/>
              </w:rPr>
            </w:pPr>
            <w:r>
              <w:rPr>
                <w:rFonts w:ascii="Arial" w:cs="Arial" w:eastAsia="Arial" w:hAnsi="Arial"/>
                <w:sz w:val="18"/>
                <w:szCs w:val="18"/>
                <w:color w:val="0000EE"/>
              </w:rPr>
              <w:t>5</w:t>
            </w:r>
          </w:p>
        </w:tc>
      </w:tr>
      <w:tr>
        <w:trPr>
          <w:trHeight w:val="58"/>
        </w:trPr>
        <w:tc>
          <w:tcPr>
            <w:tcW w:w="760" w:type="dxa"/>
            <w:vAlign w:val="bottom"/>
            <w:tcBorders>
              <w:bottom w:val="single" w:sz="8" w:color="0000EE"/>
            </w:tcBorders>
          </w:tcPr>
          <w:p>
            <w:pPr>
              <w:spacing w:after="0"/>
              <w:rPr>
                <w:sz w:val="5"/>
                <w:szCs w:val="5"/>
                <w:color w:val="auto"/>
              </w:rPr>
            </w:pPr>
          </w:p>
        </w:tc>
        <w:tc>
          <w:tcPr>
            <w:tcW w:w="480" w:type="dxa"/>
            <w:vAlign w:val="bottom"/>
            <w:tcBorders>
              <w:bottom w:val="single" w:sz="8" w:color="0000EE"/>
            </w:tcBorders>
          </w:tcPr>
          <w:p>
            <w:pPr>
              <w:spacing w:after="0"/>
              <w:rPr>
                <w:sz w:val="5"/>
                <w:szCs w:val="5"/>
                <w:color w:val="auto"/>
              </w:rPr>
            </w:pPr>
          </w:p>
        </w:tc>
        <w:tc>
          <w:tcPr>
            <w:tcW w:w="200" w:type="dxa"/>
            <w:vAlign w:val="bottom"/>
            <w:tcBorders>
              <w:bottom w:val="single" w:sz="8" w:color="0000EE"/>
            </w:tcBorders>
          </w:tcPr>
          <w:p>
            <w:pPr>
              <w:spacing w:after="0"/>
              <w:rPr>
                <w:sz w:val="5"/>
                <w:szCs w:val="5"/>
                <w:color w:val="auto"/>
              </w:rPr>
            </w:pPr>
          </w:p>
        </w:tc>
        <w:tc>
          <w:tcPr>
            <w:tcW w:w="80" w:type="dxa"/>
            <w:vAlign w:val="bottom"/>
            <w:tcBorders>
              <w:bottom w:val="single" w:sz="8" w:color="0000EE"/>
            </w:tcBorders>
          </w:tcPr>
          <w:p>
            <w:pPr>
              <w:spacing w:after="0"/>
              <w:rPr>
                <w:sz w:val="5"/>
                <w:szCs w:val="5"/>
                <w:color w:val="auto"/>
              </w:rPr>
            </w:pPr>
          </w:p>
        </w:tc>
        <w:tc>
          <w:tcPr>
            <w:tcW w:w="60" w:type="dxa"/>
            <w:vAlign w:val="bottom"/>
            <w:tcBorders>
              <w:bottom w:val="single" w:sz="8" w:color="0000EE"/>
            </w:tcBorders>
          </w:tcPr>
          <w:p>
            <w:pPr>
              <w:spacing w:after="0"/>
              <w:rPr>
                <w:sz w:val="5"/>
                <w:szCs w:val="5"/>
                <w:color w:val="auto"/>
              </w:rPr>
            </w:pPr>
          </w:p>
        </w:tc>
        <w:tc>
          <w:tcPr>
            <w:tcW w:w="460" w:type="dxa"/>
            <w:vAlign w:val="bottom"/>
            <w:tcBorders>
              <w:bottom w:val="single" w:sz="8" w:color="0000EE"/>
            </w:tcBorders>
          </w:tcPr>
          <w:p>
            <w:pPr>
              <w:spacing w:after="0"/>
              <w:rPr>
                <w:sz w:val="5"/>
                <w:szCs w:val="5"/>
                <w:color w:val="auto"/>
              </w:rPr>
            </w:pPr>
          </w:p>
        </w:tc>
        <w:tc>
          <w:tcPr>
            <w:tcW w:w="40" w:type="dxa"/>
            <w:vAlign w:val="bottom"/>
            <w:tcBorders>
              <w:bottom w:val="single" w:sz="8" w:color="0000EE"/>
            </w:tcBorders>
          </w:tcPr>
          <w:p>
            <w:pPr>
              <w:spacing w:after="0"/>
              <w:rPr>
                <w:sz w:val="5"/>
                <w:szCs w:val="5"/>
                <w:color w:val="auto"/>
              </w:rPr>
            </w:pPr>
          </w:p>
        </w:tc>
        <w:tc>
          <w:tcPr>
            <w:tcW w:w="140" w:type="dxa"/>
            <w:vAlign w:val="bottom"/>
            <w:tcBorders>
              <w:bottom w:val="single" w:sz="8" w:color="0000EE"/>
            </w:tcBorders>
          </w:tcPr>
          <w:p>
            <w:pPr>
              <w:spacing w:after="0"/>
              <w:rPr>
                <w:sz w:val="5"/>
                <w:szCs w:val="5"/>
                <w:color w:val="auto"/>
              </w:rPr>
            </w:pPr>
          </w:p>
        </w:tc>
        <w:tc>
          <w:tcPr>
            <w:tcW w:w="240" w:type="dxa"/>
            <w:vAlign w:val="bottom"/>
            <w:tcBorders>
              <w:bottom w:val="single" w:sz="8" w:color="0000EE"/>
            </w:tcBorders>
          </w:tcPr>
          <w:p>
            <w:pPr>
              <w:spacing w:after="0"/>
              <w:rPr>
                <w:sz w:val="5"/>
                <w:szCs w:val="5"/>
                <w:color w:val="auto"/>
              </w:rPr>
            </w:pPr>
          </w:p>
        </w:tc>
        <w:tc>
          <w:tcPr>
            <w:tcW w:w="40" w:type="dxa"/>
            <w:vAlign w:val="bottom"/>
            <w:tcBorders>
              <w:bottom w:val="single" w:sz="8" w:color="0000EE"/>
            </w:tcBorders>
          </w:tcPr>
          <w:p>
            <w:pPr>
              <w:spacing w:after="0"/>
              <w:rPr>
                <w:sz w:val="5"/>
                <w:szCs w:val="5"/>
                <w:color w:val="auto"/>
              </w:rPr>
            </w:pPr>
          </w:p>
        </w:tc>
        <w:tc>
          <w:tcPr>
            <w:tcW w:w="360" w:type="dxa"/>
            <w:vAlign w:val="bottom"/>
            <w:tcBorders>
              <w:bottom w:val="single" w:sz="8" w:color="0000EE"/>
            </w:tcBorders>
          </w:tcPr>
          <w:p>
            <w:pPr>
              <w:spacing w:after="0"/>
              <w:rPr>
                <w:sz w:val="5"/>
                <w:szCs w:val="5"/>
                <w:color w:val="auto"/>
              </w:rPr>
            </w:pPr>
          </w:p>
        </w:tc>
        <w:tc>
          <w:tcPr>
            <w:tcW w:w="140" w:type="dxa"/>
            <w:vAlign w:val="bottom"/>
            <w:tcBorders>
              <w:bottom w:val="single" w:sz="8" w:color="0000EE"/>
            </w:tcBorders>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780" w:type="dxa"/>
            <w:vAlign w:val="bottom"/>
            <w:tcBorders>
              <w:bottom w:val="single" w:sz="8" w:color="0000EE"/>
            </w:tcBorders>
          </w:tcPr>
          <w:p>
            <w:pPr>
              <w:spacing w:after="0"/>
              <w:rPr>
                <w:sz w:val="5"/>
                <w:szCs w:val="5"/>
                <w:color w:val="auto"/>
              </w:rPr>
            </w:pPr>
          </w:p>
        </w:tc>
        <w:tc>
          <w:tcPr>
            <w:tcW w:w="1360" w:type="dxa"/>
            <w:vAlign w:val="bottom"/>
            <w:tcBorders>
              <w:bottom w:val="single" w:sz="8" w:color="0000EE"/>
            </w:tcBorders>
          </w:tcPr>
          <w:p>
            <w:pPr>
              <w:spacing w:after="0"/>
              <w:rPr>
                <w:sz w:val="5"/>
                <w:szCs w:val="5"/>
                <w:color w:val="auto"/>
              </w:rPr>
            </w:pPr>
          </w:p>
        </w:tc>
        <w:tc>
          <w:tcPr>
            <w:tcW w:w="160" w:type="dxa"/>
            <w:vAlign w:val="bottom"/>
            <w:tcBorders>
              <w:bottom w:val="single" w:sz="8" w:color="0000EE"/>
            </w:tcBorders>
          </w:tcPr>
          <w:p>
            <w:pPr>
              <w:spacing w:after="0"/>
              <w:rPr>
                <w:sz w:val="5"/>
                <w:szCs w:val="5"/>
                <w:color w:val="auto"/>
              </w:rPr>
            </w:pPr>
          </w:p>
        </w:tc>
        <w:tc>
          <w:tcPr>
            <w:tcW w:w="2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Borders>
              <w:bottom w:val="single" w:sz="8" w:color="0000EE"/>
            </w:tcBorders>
          </w:tcPr>
          <w:p>
            <w:pPr>
              <w:spacing w:after="0"/>
              <w:rPr>
                <w:sz w:val="5"/>
                <w:szCs w:val="5"/>
                <w:color w:val="auto"/>
              </w:rPr>
            </w:pPr>
          </w:p>
        </w:tc>
      </w:tr>
      <w:tr>
        <w:trPr>
          <w:trHeight w:val="74"/>
        </w:trPr>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35"/>
        </w:trPr>
        <w:tc>
          <w:tcPr>
            <w:tcW w:w="5320" w:type="dxa"/>
            <w:vAlign w:val="bottom"/>
            <w:tcBorders>
              <w:bottom w:val="single" w:sz="8" w:color="CCEEFF"/>
            </w:tcBorders>
            <w:gridSpan w:val="16"/>
            <w:shd w:val="clear" w:color="auto" w:fill="CCEEFF"/>
          </w:tcPr>
          <w:p>
            <w:pPr>
              <w:spacing w:after="0" w:line="162" w:lineRule="exact"/>
              <w:rPr>
                <w:sz w:val="20"/>
                <w:szCs w:val="20"/>
                <w:color w:val="auto"/>
              </w:rPr>
            </w:pPr>
            <w:r>
              <w:rPr>
                <w:rFonts w:ascii="Arial" w:cs="Arial" w:eastAsia="Arial" w:hAnsi="Arial"/>
                <w:sz w:val="18"/>
                <w:szCs w:val="18"/>
                <w:color w:val="0000EE"/>
              </w:rPr>
              <w:t>USE OF PROCEEDS</w:t>
            </w:r>
          </w:p>
        </w:tc>
        <w:tc>
          <w:tcPr>
            <w:tcW w:w="2560" w:type="dxa"/>
            <w:vAlign w:val="bottom"/>
            <w:tcBorders>
              <w:bottom w:val="single" w:sz="8" w:color="CCEEFF"/>
            </w:tcBorders>
            <w:shd w:val="clear" w:color="auto" w:fill="CCEEFF"/>
          </w:tcPr>
          <w:p>
            <w:pPr>
              <w:ind w:left="2440"/>
              <w:spacing w:after="0"/>
              <w:rPr>
                <w:sz w:val="20"/>
                <w:szCs w:val="20"/>
                <w:color w:val="auto"/>
              </w:rPr>
            </w:pPr>
            <w:r>
              <w:rPr>
                <w:rFonts w:ascii="Arial" w:cs="Arial" w:eastAsia="Arial" w:hAnsi="Arial"/>
                <w:sz w:val="4"/>
                <w:szCs w:val="4"/>
                <w:color w:val="auto"/>
              </w:rPr>
              <w:t>​</w:t>
            </w:r>
          </w:p>
        </w:tc>
        <w:tc>
          <w:tcPr>
            <w:tcW w:w="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4"/>
                <w:szCs w:val="4"/>
                <w:color w:val="auto"/>
              </w:rPr>
              <w:t>​</w:t>
            </w:r>
          </w:p>
        </w:tc>
        <w:tc>
          <w:tcPr>
            <w:tcW w:w="300" w:type="dxa"/>
            <w:vAlign w:val="bottom"/>
            <w:tcBorders>
              <w:bottom w:val="single" w:sz="8" w:color="CCEEFF"/>
            </w:tcBorders>
            <w:gridSpan w:val="3"/>
            <w:shd w:val="clear" w:color="auto" w:fill="CCEEFF"/>
          </w:tcPr>
          <w:p>
            <w:pPr>
              <w:jc w:val="right"/>
              <w:spacing w:after="0" w:line="162" w:lineRule="exact"/>
              <w:rPr>
                <w:sz w:val="20"/>
                <w:szCs w:val="20"/>
                <w:color w:val="auto"/>
              </w:rPr>
            </w:pPr>
            <w:r>
              <w:rPr>
                <w:rFonts w:ascii="Arial" w:cs="Arial" w:eastAsia="Arial" w:hAnsi="Arial"/>
                <w:sz w:val="18"/>
                <w:szCs w:val="18"/>
                <w:color w:val="0000EE"/>
              </w:rPr>
              <w:t>8</w:t>
            </w:r>
          </w:p>
        </w:tc>
      </w:tr>
      <w:tr>
        <w:trPr>
          <w:trHeight w:val="74"/>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1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5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r>
      <w:tr>
        <w:trPr>
          <w:trHeight w:val="172"/>
        </w:trPr>
        <w:tc>
          <w:tcPr>
            <w:tcW w:w="5320" w:type="dxa"/>
            <w:vAlign w:val="bottom"/>
            <w:gridSpan w:val="16"/>
          </w:tcPr>
          <w:p>
            <w:pPr>
              <w:spacing w:after="0" w:line="162" w:lineRule="exact"/>
              <w:rPr>
                <w:sz w:val="20"/>
                <w:szCs w:val="20"/>
                <w:color w:val="auto"/>
              </w:rPr>
            </w:pPr>
            <w:r>
              <w:rPr>
                <w:rFonts w:ascii="Arial" w:cs="Arial" w:eastAsia="Arial" w:hAnsi="Arial"/>
                <w:sz w:val="18"/>
                <w:szCs w:val="18"/>
                <w:color w:val="0000EE"/>
              </w:rPr>
              <w:t>DESCRIPTION OF CAPITAL STOCK</w:t>
            </w:r>
          </w:p>
        </w:tc>
        <w:tc>
          <w:tcPr>
            <w:tcW w:w="2560" w:type="dxa"/>
            <w:vAlign w:val="bottom"/>
          </w:tcPr>
          <w:p>
            <w:pPr>
              <w:ind w:left="2440"/>
              <w:spacing w:after="0"/>
              <w:rPr>
                <w:sz w:val="20"/>
                <w:szCs w:val="20"/>
                <w:color w:val="auto"/>
              </w:rPr>
            </w:pPr>
            <w:r>
              <w:rPr>
                <w:rFonts w:ascii="Arial" w:cs="Arial" w:eastAsia="Arial" w:hAnsi="Arial"/>
                <w:sz w:val="4"/>
                <w:szCs w:val="4"/>
                <w:color w:val="auto"/>
              </w:rPr>
              <w:t>​</w:t>
            </w:r>
          </w:p>
        </w:tc>
        <w:tc>
          <w:tcPr>
            <w:tcW w:w="240" w:type="dxa"/>
            <w:vAlign w:val="bottom"/>
          </w:tcPr>
          <w:p>
            <w:pPr>
              <w:ind w:left="120"/>
              <w:spacing w:after="0"/>
              <w:rPr>
                <w:sz w:val="20"/>
                <w:szCs w:val="20"/>
                <w:color w:val="auto"/>
              </w:rPr>
            </w:pPr>
            <w:r>
              <w:rPr>
                <w:rFonts w:ascii="Arial" w:cs="Arial" w:eastAsia="Arial" w:hAnsi="Arial"/>
                <w:sz w:val="4"/>
                <w:szCs w:val="4"/>
                <w:color w:val="auto"/>
              </w:rPr>
              <w:t>​</w:t>
            </w:r>
          </w:p>
        </w:tc>
        <w:tc>
          <w:tcPr>
            <w:tcW w:w="300" w:type="dxa"/>
            <w:vAlign w:val="bottom"/>
            <w:gridSpan w:val="3"/>
          </w:tcPr>
          <w:p>
            <w:pPr>
              <w:jc w:val="right"/>
              <w:spacing w:after="0" w:line="162" w:lineRule="exact"/>
              <w:rPr>
                <w:sz w:val="20"/>
                <w:szCs w:val="20"/>
                <w:color w:val="auto"/>
              </w:rPr>
            </w:pPr>
            <w:r>
              <w:rPr>
                <w:rFonts w:ascii="Arial" w:cs="Arial" w:eastAsia="Arial" w:hAnsi="Arial"/>
                <w:sz w:val="18"/>
                <w:szCs w:val="18"/>
                <w:color w:val="0000EE"/>
              </w:rPr>
              <w:t>9</w:t>
            </w:r>
          </w:p>
        </w:tc>
      </w:tr>
      <w:tr>
        <w:trPr>
          <w:trHeight w:val="58"/>
        </w:trPr>
        <w:tc>
          <w:tcPr>
            <w:tcW w:w="760" w:type="dxa"/>
            <w:vAlign w:val="bottom"/>
            <w:tcBorders>
              <w:bottom w:val="single" w:sz="8" w:color="0000EE"/>
            </w:tcBorders>
          </w:tcPr>
          <w:p>
            <w:pPr>
              <w:spacing w:after="0"/>
              <w:rPr>
                <w:sz w:val="5"/>
                <w:szCs w:val="5"/>
                <w:color w:val="auto"/>
              </w:rPr>
            </w:pPr>
          </w:p>
        </w:tc>
        <w:tc>
          <w:tcPr>
            <w:tcW w:w="480" w:type="dxa"/>
            <w:vAlign w:val="bottom"/>
            <w:tcBorders>
              <w:bottom w:val="single" w:sz="8" w:color="0000EE"/>
            </w:tcBorders>
          </w:tcPr>
          <w:p>
            <w:pPr>
              <w:spacing w:after="0"/>
              <w:rPr>
                <w:sz w:val="5"/>
                <w:szCs w:val="5"/>
                <w:color w:val="auto"/>
              </w:rPr>
            </w:pPr>
          </w:p>
        </w:tc>
        <w:tc>
          <w:tcPr>
            <w:tcW w:w="200" w:type="dxa"/>
            <w:vAlign w:val="bottom"/>
            <w:tcBorders>
              <w:bottom w:val="single" w:sz="8" w:color="0000EE"/>
            </w:tcBorders>
          </w:tcPr>
          <w:p>
            <w:pPr>
              <w:spacing w:after="0"/>
              <w:rPr>
                <w:sz w:val="5"/>
                <w:szCs w:val="5"/>
                <w:color w:val="auto"/>
              </w:rPr>
            </w:pPr>
          </w:p>
        </w:tc>
        <w:tc>
          <w:tcPr>
            <w:tcW w:w="80" w:type="dxa"/>
            <w:vAlign w:val="bottom"/>
            <w:tcBorders>
              <w:bottom w:val="single" w:sz="8" w:color="0000EE"/>
            </w:tcBorders>
          </w:tcPr>
          <w:p>
            <w:pPr>
              <w:spacing w:after="0"/>
              <w:rPr>
                <w:sz w:val="5"/>
                <w:szCs w:val="5"/>
                <w:color w:val="auto"/>
              </w:rPr>
            </w:pPr>
          </w:p>
        </w:tc>
        <w:tc>
          <w:tcPr>
            <w:tcW w:w="60" w:type="dxa"/>
            <w:vAlign w:val="bottom"/>
            <w:tcBorders>
              <w:bottom w:val="single" w:sz="8" w:color="0000EE"/>
            </w:tcBorders>
          </w:tcPr>
          <w:p>
            <w:pPr>
              <w:spacing w:after="0"/>
              <w:rPr>
                <w:sz w:val="5"/>
                <w:szCs w:val="5"/>
                <w:color w:val="auto"/>
              </w:rPr>
            </w:pPr>
          </w:p>
        </w:tc>
        <w:tc>
          <w:tcPr>
            <w:tcW w:w="460" w:type="dxa"/>
            <w:vAlign w:val="bottom"/>
            <w:tcBorders>
              <w:bottom w:val="single" w:sz="8" w:color="0000EE"/>
            </w:tcBorders>
          </w:tcPr>
          <w:p>
            <w:pPr>
              <w:spacing w:after="0"/>
              <w:rPr>
                <w:sz w:val="5"/>
                <w:szCs w:val="5"/>
                <w:color w:val="auto"/>
              </w:rPr>
            </w:pPr>
          </w:p>
        </w:tc>
        <w:tc>
          <w:tcPr>
            <w:tcW w:w="40" w:type="dxa"/>
            <w:vAlign w:val="bottom"/>
            <w:tcBorders>
              <w:bottom w:val="single" w:sz="8" w:color="0000EE"/>
            </w:tcBorders>
          </w:tcPr>
          <w:p>
            <w:pPr>
              <w:spacing w:after="0"/>
              <w:rPr>
                <w:sz w:val="5"/>
                <w:szCs w:val="5"/>
                <w:color w:val="auto"/>
              </w:rPr>
            </w:pPr>
          </w:p>
        </w:tc>
        <w:tc>
          <w:tcPr>
            <w:tcW w:w="140" w:type="dxa"/>
            <w:vAlign w:val="bottom"/>
            <w:tcBorders>
              <w:bottom w:val="single" w:sz="8" w:color="0000EE"/>
            </w:tcBorders>
          </w:tcPr>
          <w:p>
            <w:pPr>
              <w:spacing w:after="0"/>
              <w:rPr>
                <w:sz w:val="5"/>
                <w:szCs w:val="5"/>
                <w:color w:val="auto"/>
              </w:rPr>
            </w:pPr>
          </w:p>
        </w:tc>
        <w:tc>
          <w:tcPr>
            <w:tcW w:w="240" w:type="dxa"/>
            <w:vAlign w:val="bottom"/>
            <w:tcBorders>
              <w:bottom w:val="single" w:sz="8" w:color="0000EE"/>
            </w:tcBorders>
          </w:tcPr>
          <w:p>
            <w:pPr>
              <w:spacing w:after="0"/>
              <w:rPr>
                <w:sz w:val="5"/>
                <w:szCs w:val="5"/>
                <w:color w:val="auto"/>
              </w:rPr>
            </w:pPr>
          </w:p>
        </w:tc>
        <w:tc>
          <w:tcPr>
            <w:tcW w:w="40" w:type="dxa"/>
            <w:vAlign w:val="bottom"/>
            <w:tcBorders>
              <w:bottom w:val="single" w:sz="8" w:color="0000EE"/>
            </w:tcBorders>
          </w:tcPr>
          <w:p>
            <w:pPr>
              <w:spacing w:after="0"/>
              <w:rPr>
                <w:sz w:val="5"/>
                <w:szCs w:val="5"/>
                <w:color w:val="auto"/>
              </w:rPr>
            </w:pPr>
          </w:p>
        </w:tc>
        <w:tc>
          <w:tcPr>
            <w:tcW w:w="360" w:type="dxa"/>
            <w:vAlign w:val="bottom"/>
            <w:tcBorders>
              <w:bottom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Borders>
              <w:bottom w:val="single" w:sz="8" w:color="0000EE"/>
            </w:tcBorders>
          </w:tcPr>
          <w:p>
            <w:pPr>
              <w:spacing w:after="0"/>
              <w:rPr>
                <w:sz w:val="5"/>
                <w:szCs w:val="5"/>
                <w:color w:val="auto"/>
              </w:rPr>
            </w:pPr>
          </w:p>
        </w:tc>
      </w:tr>
      <w:tr>
        <w:trPr>
          <w:trHeight w:val="75"/>
        </w:trPr>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34"/>
        </w:trPr>
        <w:tc>
          <w:tcPr>
            <w:tcW w:w="5320" w:type="dxa"/>
            <w:vAlign w:val="bottom"/>
            <w:tcBorders>
              <w:bottom w:val="single" w:sz="8" w:color="CCEEFF"/>
            </w:tcBorders>
            <w:gridSpan w:val="16"/>
            <w:shd w:val="clear" w:color="auto" w:fill="CCEEFF"/>
          </w:tcPr>
          <w:p>
            <w:pPr>
              <w:spacing w:after="0" w:line="162" w:lineRule="exact"/>
              <w:rPr>
                <w:sz w:val="20"/>
                <w:szCs w:val="20"/>
                <w:color w:val="auto"/>
              </w:rPr>
            </w:pPr>
            <w:r>
              <w:rPr>
                <w:rFonts w:ascii="Arial" w:cs="Arial" w:eastAsia="Arial" w:hAnsi="Arial"/>
                <w:sz w:val="18"/>
                <w:szCs w:val="18"/>
                <w:color w:val="0000EE"/>
              </w:rPr>
              <w:t>DESCRIPTION OF DEBT SECURITIES</w:t>
            </w:r>
          </w:p>
        </w:tc>
        <w:tc>
          <w:tcPr>
            <w:tcW w:w="2560" w:type="dxa"/>
            <w:vAlign w:val="bottom"/>
            <w:tcBorders>
              <w:bottom w:val="single" w:sz="8" w:color="CCEEFF"/>
            </w:tcBorders>
            <w:shd w:val="clear" w:color="auto" w:fill="CCEEFF"/>
          </w:tcPr>
          <w:p>
            <w:pPr>
              <w:ind w:left="2440"/>
              <w:spacing w:after="0"/>
              <w:rPr>
                <w:sz w:val="20"/>
                <w:szCs w:val="20"/>
                <w:color w:val="auto"/>
              </w:rPr>
            </w:pPr>
            <w:r>
              <w:rPr>
                <w:rFonts w:ascii="Arial" w:cs="Arial" w:eastAsia="Arial" w:hAnsi="Arial"/>
                <w:sz w:val="4"/>
                <w:szCs w:val="4"/>
                <w:color w:val="auto"/>
              </w:rPr>
              <w:t>​</w:t>
            </w:r>
          </w:p>
        </w:tc>
        <w:tc>
          <w:tcPr>
            <w:tcW w:w="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4"/>
                <w:szCs w:val="4"/>
                <w:color w:val="auto"/>
              </w:rPr>
              <w:t>​</w:t>
            </w:r>
          </w:p>
        </w:tc>
        <w:tc>
          <w:tcPr>
            <w:tcW w:w="300" w:type="dxa"/>
            <w:vAlign w:val="bottom"/>
            <w:tcBorders>
              <w:bottom w:val="single" w:sz="8" w:color="CCEEFF"/>
            </w:tcBorders>
            <w:gridSpan w:val="3"/>
            <w:shd w:val="clear" w:color="auto" w:fill="CCEEFF"/>
          </w:tcPr>
          <w:p>
            <w:pPr>
              <w:jc w:val="right"/>
              <w:spacing w:after="0" w:line="162" w:lineRule="exact"/>
              <w:rPr>
                <w:sz w:val="20"/>
                <w:szCs w:val="20"/>
                <w:color w:val="auto"/>
              </w:rPr>
            </w:pPr>
            <w:r>
              <w:rPr>
                <w:rFonts w:ascii="Arial" w:cs="Arial" w:eastAsia="Arial" w:hAnsi="Arial"/>
                <w:sz w:val="18"/>
                <w:szCs w:val="18"/>
                <w:color w:val="0000EE"/>
              </w:rPr>
              <w:t>14</w:t>
            </w:r>
          </w:p>
        </w:tc>
      </w:tr>
      <w:tr>
        <w:trPr>
          <w:trHeight w:val="75"/>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1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5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r>
      <w:tr>
        <w:trPr>
          <w:trHeight w:val="172"/>
        </w:trPr>
        <w:tc>
          <w:tcPr>
            <w:tcW w:w="5320" w:type="dxa"/>
            <w:vAlign w:val="bottom"/>
            <w:gridSpan w:val="16"/>
          </w:tcPr>
          <w:p>
            <w:pPr>
              <w:spacing w:after="0" w:line="162" w:lineRule="exact"/>
              <w:rPr>
                <w:sz w:val="20"/>
                <w:szCs w:val="20"/>
                <w:color w:val="auto"/>
              </w:rPr>
            </w:pPr>
            <w:r>
              <w:rPr>
                <w:rFonts w:ascii="Arial" w:cs="Arial" w:eastAsia="Arial" w:hAnsi="Arial"/>
                <w:sz w:val="18"/>
                <w:szCs w:val="18"/>
                <w:color w:val="0000EE"/>
              </w:rPr>
              <w:t>DESCRIPTION OF WARRANTS</w:t>
            </w:r>
          </w:p>
        </w:tc>
        <w:tc>
          <w:tcPr>
            <w:tcW w:w="2560" w:type="dxa"/>
            <w:vAlign w:val="bottom"/>
          </w:tcPr>
          <w:p>
            <w:pPr>
              <w:ind w:left="2440"/>
              <w:spacing w:after="0"/>
              <w:rPr>
                <w:sz w:val="20"/>
                <w:szCs w:val="20"/>
                <w:color w:val="auto"/>
              </w:rPr>
            </w:pPr>
            <w:r>
              <w:rPr>
                <w:rFonts w:ascii="Arial" w:cs="Arial" w:eastAsia="Arial" w:hAnsi="Arial"/>
                <w:sz w:val="4"/>
                <w:szCs w:val="4"/>
                <w:color w:val="auto"/>
              </w:rPr>
              <w:t>​</w:t>
            </w:r>
          </w:p>
        </w:tc>
        <w:tc>
          <w:tcPr>
            <w:tcW w:w="240" w:type="dxa"/>
            <w:vAlign w:val="bottom"/>
          </w:tcPr>
          <w:p>
            <w:pPr>
              <w:ind w:left="120"/>
              <w:spacing w:after="0"/>
              <w:rPr>
                <w:sz w:val="20"/>
                <w:szCs w:val="20"/>
                <w:color w:val="auto"/>
              </w:rPr>
            </w:pPr>
            <w:r>
              <w:rPr>
                <w:rFonts w:ascii="Arial" w:cs="Arial" w:eastAsia="Arial" w:hAnsi="Arial"/>
                <w:sz w:val="4"/>
                <w:szCs w:val="4"/>
                <w:color w:val="auto"/>
              </w:rPr>
              <w:t>​</w:t>
            </w:r>
          </w:p>
        </w:tc>
        <w:tc>
          <w:tcPr>
            <w:tcW w:w="300" w:type="dxa"/>
            <w:vAlign w:val="bottom"/>
            <w:gridSpan w:val="3"/>
          </w:tcPr>
          <w:p>
            <w:pPr>
              <w:jc w:val="right"/>
              <w:spacing w:after="0" w:line="162" w:lineRule="exact"/>
              <w:rPr>
                <w:sz w:val="20"/>
                <w:szCs w:val="20"/>
                <w:color w:val="auto"/>
              </w:rPr>
            </w:pPr>
            <w:r>
              <w:rPr>
                <w:rFonts w:ascii="Arial" w:cs="Arial" w:eastAsia="Arial" w:hAnsi="Arial"/>
                <w:sz w:val="18"/>
                <w:szCs w:val="18"/>
                <w:color w:val="0000EE"/>
              </w:rPr>
              <w:t>20</w:t>
            </w:r>
          </w:p>
        </w:tc>
      </w:tr>
      <w:tr>
        <w:trPr>
          <w:trHeight w:val="58"/>
        </w:trPr>
        <w:tc>
          <w:tcPr>
            <w:tcW w:w="760" w:type="dxa"/>
            <w:vAlign w:val="bottom"/>
            <w:tcBorders>
              <w:bottom w:val="single" w:sz="8" w:color="0000EE"/>
            </w:tcBorders>
          </w:tcPr>
          <w:p>
            <w:pPr>
              <w:spacing w:after="0"/>
              <w:rPr>
                <w:sz w:val="5"/>
                <w:szCs w:val="5"/>
                <w:color w:val="auto"/>
              </w:rPr>
            </w:pPr>
          </w:p>
        </w:tc>
        <w:tc>
          <w:tcPr>
            <w:tcW w:w="480" w:type="dxa"/>
            <w:vAlign w:val="bottom"/>
            <w:tcBorders>
              <w:bottom w:val="single" w:sz="8" w:color="0000EE"/>
            </w:tcBorders>
          </w:tcPr>
          <w:p>
            <w:pPr>
              <w:spacing w:after="0"/>
              <w:rPr>
                <w:sz w:val="5"/>
                <w:szCs w:val="5"/>
                <w:color w:val="auto"/>
              </w:rPr>
            </w:pPr>
          </w:p>
        </w:tc>
        <w:tc>
          <w:tcPr>
            <w:tcW w:w="200" w:type="dxa"/>
            <w:vAlign w:val="bottom"/>
            <w:tcBorders>
              <w:bottom w:val="single" w:sz="8" w:color="0000EE"/>
            </w:tcBorders>
          </w:tcPr>
          <w:p>
            <w:pPr>
              <w:spacing w:after="0"/>
              <w:rPr>
                <w:sz w:val="5"/>
                <w:szCs w:val="5"/>
                <w:color w:val="auto"/>
              </w:rPr>
            </w:pPr>
          </w:p>
        </w:tc>
        <w:tc>
          <w:tcPr>
            <w:tcW w:w="80" w:type="dxa"/>
            <w:vAlign w:val="bottom"/>
            <w:tcBorders>
              <w:bottom w:val="single" w:sz="8" w:color="0000EE"/>
            </w:tcBorders>
          </w:tcPr>
          <w:p>
            <w:pPr>
              <w:spacing w:after="0"/>
              <w:rPr>
                <w:sz w:val="5"/>
                <w:szCs w:val="5"/>
                <w:color w:val="auto"/>
              </w:rPr>
            </w:pPr>
          </w:p>
        </w:tc>
        <w:tc>
          <w:tcPr>
            <w:tcW w:w="60" w:type="dxa"/>
            <w:vAlign w:val="bottom"/>
            <w:tcBorders>
              <w:bottom w:val="single" w:sz="8" w:color="0000EE"/>
            </w:tcBorders>
          </w:tcPr>
          <w:p>
            <w:pPr>
              <w:spacing w:after="0"/>
              <w:rPr>
                <w:sz w:val="5"/>
                <w:szCs w:val="5"/>
                <w:color w:val="auto"/>
              </w:rPr>
            </w:pPr>
          </w:p>
        </w:tc>
        <w:tc>
          <w:tcPr>
            <w:tcW w:w="460" w:type="dxa"/>
            <w:vAlign w:val="bottom"/>
            <w:tcBorders>
              <w:bottom w:val="single" w:sz="8" w:color="0000EE"/>
            </w:tcBorders>
          </w:tcPr>
          <w:p>
            <w:pPr>
              <w:spacing w:after="0"/>
              <w:rPr>
                <w:sz w:val="5"/>
                <w:szCs w:val="5"/>
                <w:color w:val="auto"/>
              </w:rPr>
            </w:pPr>
          </w:p>
        </w:tc>
        <w:tc>
          <w:tcPr>
            <w:tcW w:w="40" w:type="dxa"/>
            <w:vAlign w:val="bottom"/>
            <w:tcBorders>
              <w:bottom w:val="single" w:sz="8" w:color="0000EE"/>
            </w:tcBorders>
          </w:tcPr>
          <w:p>
            <w:pPr>
              <w:spacing w:after="0"/>
              <w:rPr>
                <w:sz w:val="5"/>
                <w:szCs w:val="5"/>
                <w:color w:val="auto"/>
              </w:rPr>
            </w:pPr>
          </w:p>
        </w:tc>
        <w:tc>
          <w:tcPr>
            <w:tcW w:w="140" w:type="dxa"/>
            <w:vAlign w:val="bottom"/>
            <w:tcBorders>
              <w:bottom w:val="single" w:sz="8" w:color="0000EE"/>
            </w:tcBorders>
          </w:tcPr>
          <w:p>
            <w:pPr>
              <w:spacing w:after="0"/>
              <w:rPr>
                <w:sz w:val="5"/>
                <w:szCs w:val="5"/>
                <w:color w:val="auto"/>
              </w:rPr>
            </w:pPr>
          </w:p>
        </w:tc>
        <w:tc>
          <w:tcPr>
            <w:tcW w:w="240" w:type="dxa"/>
            <w:vAlign w:val="bottom"/>
            <w:tcBorders>
              <w:bottom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Borders>
              <w:bottom w:val="single" w:sz="8" w:color="0000EE"/>
            </w:tcBorders>
          </w:tcPr>
          <w:p>
            <w:pPr>
              <w:spacing w:after="0"/>
              <w:rPr>
                <w:sz w:val="5"/>
                <w:szCs w:val="5"/>
                <w:color w:val="auto"/>
              </w:rPr>
            </w:pPr>
          </w:p>
        </w:tc>
        <w:tc>
          <w:tcPr>
            <w:tcW w:w="100" w:type="dxa"/>
            <w:vAlign w:val="bottom"/>
            <w:tcBorders>
              <w:bottom w:val="single" w:sz="8" w:color="0000EE"/>
            </w:tcBorders>
          </w:tcPr>
          <w:p>
            <w:pPr>
              <w:spacing w:after="0"/>
              <w:rPr>
                <w:sz w:val="5"/>
                <w:szCs w:val="5"/>
                <w:color w:val="auto"/>
              </w:rPr>
            </w:pPr>
          </w:p>
        </w:tc>
      </w:tr>
      <w:tr>
        <w:trPr>
          <w:trHeight w:val="74"/>
        </w:trPr>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35"/>
        </w:trPr>
        <w:tc>
          <w:tcPr>
            <w:tcW w:w="5320" w:type="dxa"/>
            <w:vAlign w:val="bottom"/>
            <w:tcBorders>
              <w:bottom w:val="single" w:sz="8" w:color="CCEEFF"/>
            </w:tcBorders>
            <w:gridSpan w:val="16"/>
            <w:shd w:val="clear" w:color="auto" w:fill="CCEEFF"/>
          </w:tcPr>
          <w:p>
            <w:pPr>
              <w:spacing w:after="0" w:line="162" w:lineRule="exact"/>
              <w:rPr>
                <w:sz w:val="20"/>
                <w:szCs w:val="20"/>
                <w:color w:val="auto"/>
              </w:rPr>
            </w:pPr>
            <w:r>
              <w:rPr>
                <w:rFonts w:ascii="Arial" w:cs="Arial" w:eastAsia="Arial" w:hAnsi="Arial"/>
                <w:sz w:val="18"/>
                <w:szCs w:val="18"/>
                <w:color w:val="0000EE"/>
              </w:rPr>
              <w:t>LEGAL OWNERSHIP OF SECURITIES</w:t>
            </w:r>
          </w:p>
        </w:tc>
        <w:tc>
          <w:tcPr>
            <w:tcW w:w="2560" w:type="dxa"/>
            <w:vAlign w:val="bottom"/>
            <w:tcBorders>
              <w:bottom w:val="single" w:sz="8" w:color="CCEEFF"/>
            </w:tcBorders>
            <w:shd w:val="clear" w:color="auto" w:fill="CCEEFF"/>
          </w:tcPr>
          <w:p>
            <w:pPr>
              <w:ind w:left="2440"/>
              <w:spacing w:after="0"/>
              <w:rPr>
                <w:sz w:val="20"/>
                <w:szCs w:val="20"/>
                <w:color w:val="auto"/>
              </w:rPr>
            </w:pPr>
            <w:r>
              <w:rPr>
                <w:rFonts w:ascii="Arial" w:cs="Arial" w:eastAsia="Arial" w:hAnsi="Arial"/>
                <w:sz w:val="4"/>
                <w:szCs w:val="4"/>
                <w:color w:val="auto"/>
              </w:rPr>
              <w:t>​</w:t>
            </w:r>
          </w:p>
        </w:tc>
        <w:tc>
          <w:tcPr>
            <w:tcW w:w="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4"/>
                <w:szCs w:val="4"/>
                <w:color w:val="auto"/>
              </w:rPr>
              <w:t>​</w:t>
            </w:r>
          </w:p>
        </w:tc>
        <w:tc>
          <w:tcPr>
            <w:tcW w:w="300" w:type="dxa"/>
            <w:vAlign w:val="bottom"/>
            <w:tcBorders>
              <w:bottom w:val="single" w:sz="8" w:color="CCEEFF"/>
            </w:tcBorders>
            <w:gridSpan w:val="3"/>
            <w:shd w:val="clear" w:color="auto" w:fill="CCEEFF"/>
          </w:tcPr>
          <w:p>
            <w:pPr>
              <w:jc w:val="right"/>
              <w:spacing w:after="0" w:line="162" w:lineRule="exact"/>
              <w:rPr>
                <w:sz w:val="20"/>
                <w:szCs w:val="20"/>
                <w:color w:val="auto"/>
              </w:rPr>
            </w:pPr>
            <w:r>
              <w:rPr>
                <w:rFonts w:ascii="Arial" w:cs="Arial" w:eastAsia="Arial" w:hAnsi="Arial"/>
                <w:sz w:val="18"/>
                <w:szCs w:val="18"/>
                <w:color w:val="0000EE"/>
              </w:rPr>
              <w:t>22</w:t>
            </w:r>
          </w:p>
        </w:tc>
      </w:tr>
      <w:tr>
        <w:trPr>
          <w:trHeight w:val="74"/>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1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5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r>
      <w:tr>
        <w:trPr>
          <w:trHeight w:val="172"/>
        </w:trPr>
        <w:tc>
          <w:tcPr>
            <w:tcW w:w="5320" w:type="dxa"/>
            <w:vAlign w:val="bottom"/>
            <w:gridSpan w:val="16"/>
          </w:tcPr>
          <w:p>
            <w:pPr>
              <w:spacing w:after="0" w:line="162" w:lineRule="exact"/>
              <w:rPr>
                <w:sz w:val="20"/>
                <w:szCs w:val="20"/>
                <w:color w:val="auto"/>
              </w:rPr>
            </w:pPr>
            <w:r>
              <w:rPr>
                <w:rFonts w:ascii="Arial" w:cs="Arial" w:eastAsia="Arial" w:hAnsi="Arial"/>
                <w:sz w:val="18"/>
                <w:szCs w:val="18"/>
                <w:color w:val="0000EE"/>
              </w:rPr>
              <w:t>SELLING SECURITYHOLDERS</w:t>
            </w:r>
          </w:p>
        </w:tc>
        <w:tc>
          <w:tcPr>
            <w:tcW w:w="2560" w:type="dxa"/>
            <w:vAlign w:val="bottom"/>
          </w:tcPr>
          <w:p>
            <w:pPr>
              <w:ind w:left="2440"/>
              <w:spacing w:after="0"/>
              <w:rPr>
                <w:sz w:val="20"/>
                <w:szCs w:val="20"/>
                <w:color w:val="auto"/>
              </w:rPr>
            </w:pPr>
            <w:r>
              <w:rPr>
                <w:rFonts w:ascii="Arial" w:cs="Arial" w:eastAsia="Arial" w:hAnsi="Arial"/>
                <w:sz w:val="4"/>
                <w:szCs w:val="4"/>
                <w:color w:val="auto"/>
              </w:rPr>
              <w:t>​</w:t>
            </w:r>
          </w:p>
        </w:tc>
        <w:tc>
          <w:tcPr>
            <w:tcW w:w="240" w:type="dxa"/>
            <w:vAlign w:val="bottom"/>
          </w:tcPr>
          <w:p>
            <w:pPr>
              <w:ind w:left="120"/>
              <w:spacing w:after="0"/>
              <w:rPr>
                <w:sz w:val="20"/>
                <w:szCs w:val="20"/>
                <w:color w:val="auto"/>
              </w:rPr>
            </w:pPr>
            <w:r>
              <w:rPr>
                <w:rFonts w:ascii="Arial" w:cs="Arial" w:eastAsia="Arial" w:hAnsi="Arial"/>
                <w:sz w:val="4"/>
                <w:szCs w:val="4"/>
                <w:color w:val="auto"/>
              </w:rPr>
              <w:t>​</w:t>
            </w:r>
          </w:p>
        </w:tc>
        <w:tc>
          <w:tcPr>
            <w:tcW w:w="300" w:type="dxa"/>
            <w:vAlign w:val="bottom"/>
            <w:gridSpan w:val="3"/>
          </w:tcPr>
          <w:p>
            <w:pPr>
              <w:jc w:val="right"/>
              <w:spacing w:after="0" w:line="162" w:lineRule="exact"/>
              <w:rPr>
                <w:sz w:val="20"/>
                <w:szCs w:val="20"/>
                <w:color w:val="auto"/>
              </w:rPr>
            </w:pPr>
            <w:r>
              <w:rPr>
                <w:rFonts w:ascii="Arial" w:cs="Arial" w:eastAsia="Arial" w:hAnsi="Arial"/>
                <w:sz w:val="18"/>
                <w:szCs w:val="18"/>
                <w:color w:val="0000EE"/>
              </w:rPr>
              <w:t>24</w:t>
            </w:r>
          </w:p>
        </w:tc>
      </w:tr>
      <w:tr>
        <w:trPr>
          <w:trHeight w:val="58"/>
        </w:trPr>
        <w:tc>
          <w:tcPr>
            <w:tcW w:w="760" w:type="dxa"/>
            <w:vAlign w:val="bottom"/>
            <w:tcBorders>
              <w:bottom w:val="single" w:sz="8" w:color="0000EE"/>
            </w:tcBorders>
          </w:tcPr>
          <w:p>
            <w:pPr>
              <w:spacing w:after="0"/>
              <w:rPr>
                <w:sz w:val="5"/>
                <w:szCs w:val="5"/>
                <w:color w:val="auto"/>
              </w:rPr>
            </w:pPr>
          </w:p>
        </w:tc>
        <w:tc>
          <w:tcPr>
            <w:tcW w:w="480" w:type="dxa"/>
            <w:vAlign w:val="bottom"/>
            <w:tcBorders>
              <w:bottom w:val="single" w:sz="8" w:color="0000EE"/>
            </w:tcBorders>
          </w:tcPr>
          <w:p>
            <w:pPr>
              <w:spacing w:after="0"/>
              <w:rPr>
                <w:sz w:val="5"/>
                <w:szCs w:val="5"/>
                <w:color w:val="auto"/>
              </w:rPr>
            </w:pPr>
          </w:p>
        </w:tc>
        <w:tc>
          <w:tcPr>
            <w:tcW w:w="200" w:type="dxa"/>
            <w:vAlign w:val="bottom"/>
            <w:tcBorders>
              <w:bottom w:val="single" w:sz="8" w:color="0000EE"/>
            </w:tcBorders>
          </w:tcPr>
          <w:p>
            <w:pPr>
              <w:spacing w:after="0"/>
              <w:rPr>
                <w:sz w:val="5"/>
                <w:szCs w:val="5"/>
                <w:color w:val="auto"/>
              </w:rPr>
            </w:pPr>
          </w:p>
        </w:tc>
        <w:tc>
          <w:tcPr>
            <w:tcW w:w="80" w:type="dxa"/>
            <w:vAlign w:val="bottom"/>
            <w:tcBorders>
              <w:bottom w:val="single" w:sz="8" w:color="0000EE"/>
            </w:tcBorders>
          </w:tcPr>
          <w:p>
            <w:pPr>
              <w:spacing w:after="0"/>
              <w:rPr>
                <w:sz w:val="5"/>
                <w:szCs w:val="5"/>
                <w:color w:val="auto"/>
              </w:rPr>
            </w:pPr>
          </w:p>
        </w:tc>
        <w:tc>
          <w:tcPr>
            <w:tcW w:w="60" w:type="dxa"/>
            <w:vAlign w:val="bottom"/>
            <w:tcBorders>
              <w:bottom w:val="single" w:sz="8" w:color="0000EE"/>
            </w:tcBorders>
          </w:tcPr>
          <w:p>
            <w:pPr>
              <w:spacing w:after="0"/>
              <w:rPr>
                <w:sz w:val="5"/>
                <w:szCs w:val="5"/>
                <w:color w:val="auto"/>
              </w:rPr>
            </w:pPr>
          </w:p>
        </w:tc>
        <w:tc>
          <w:tcPr>
            <w:tcW w:w="460" w:type="dxa"/>
            <w:vAlign w:val="bottom"/>
            <w:tcBorders>
              <w:bottom w:val="single" w:sz="8" w:color="0000EE"/>
            </w:tcBorders>
          </w:tcPr>
          <w:p>
            <w:pPr>
              <w:spacing w:after="0"/>
              <w:rPr>
                <w:sz w:val="5"/>
                <w:szCs w:val="5"/>
                <w:color w:val="auto"/>
              </w:rPr>
            </w:pPr>
          </w:p>
        </w:tc>
        <w:tc>
          <w:tcPr>
            <w:tcW w:w="40" w:type="dxa"/>
            <w:vAlign w:val="bottom"/>
            <w:tcBorders>
              <w:bottom w:val="single" w:sz="8" w:color="0000EE"/>
            </w:tcBorders>
          </w:tcPr>
          <w:p>
            <w:pPr>
              <w:spacing w:after="0"/>
              <w:rPr>
                <w:sz w:val="5"/>
                <w:szCs w:val="5"/>
                <w:color w:val="auto"/>
              </w:rPr>
            </w:pPr>
          </w:p>
        </w:tc>
        <w:tc>
          <w:tcPr>
            <w:tcW w:w="140" w:type="dxa"/>
            <w:vAlign w:val="bottom"/>
            <w:tcBorders>
              <w:bottom w:val="single" w:sz="8" w:color="0000EE"/>
            </w:tcBorders>
          </w:tcPr>
          <w:p>
            <w:pPr>
              <w:spacing w:after="0"/>
              <w:rPr>
                <w:sz w:val="5"/>
                <w:szCs w:val="5"/>
                <w:color w:val="auto"/>
              </w:rPr>
            </w:pPr>
          </w:p>
        </w:tc>
        <w:tc>
          <w:tcPr>
            <w:tcW w:w="240" w:type="dxa"/>
            <w:vAlign w:val="bottom"/>
            <w:tcBorders>
              <w:bottom w:val="single" w:sz="8" w:color="0000EE"/>
            </w:tcBorders>
          </w:tcPr>
          <w:p>
            <w:pPr>
              <w:spacing w:after="0"/>
              <w:rPr>
                <w:sz w:val="5"/>
                <w:szCs w:val="5"/>
                <w:color w:val="auto"/>
              </w:rPr>
            </w:pPr>
          </w:p>
        </w:tc>
        <w:tc>
          <w:tcPr>
            <w:tcW w:w="40" w:type="dxa"/>
            <w:vAlign w:val="bottom"/>
            <w:tcBorders>
              <w:bottom w:val="single" w:sz="8" w:color="0000EE"/>
            </w:tcBorders>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Borders>
              <w:bottom w:val="single" w:sz="8" w:color="0000EE"/>
            </w:tcBorders>
          </w:tcPr>
          <w:p>
            <w:pPr>
              <w:spacing w:after="0"/>
              <w:rPr>
                <w:sz w:val="5"/>
                <w:szCs w:val="5"/>
                <w:color w:val="auto"/>
              </w:rPr>
            </w:pPr>
          </w:p>
        </w:tc>
        <w:tc>
          <w:tcPr>
            <w:tcW w:w="100" w:type="dxa"/>
            <w:vAlign w:val="bottom"/>
            <w:tcBorders>
              <w:bottom w:val="single" w:sz="8" w:color="0000EE"/>
            </w:tcBorders>
          </w:tcPr>
          <w:p>
            <w:pPr>
              <w:spacing w:after="0"/>
              <w:rPr>
                <w:sz w:val="5"/>
                <w:szCs w:val="5"/>
                <w:color w:val="auto"/>
              </w:rPr>
            </w:pPr>
          </w:p>
        </w:tc>
      </w:tr>
      <w:tr>
        <w:trPr>
          <w:trHeight w:val="74"/>
        </w:trPr>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34"/>
        </w:trPr>
        <w:tc>
          <w:tcPr>
            <w:tcW w:w="5320" w:type="dxa"/>
            <w:vAlign w:val="bottom"/>
            <w:tcBorders>
              <w:bottom w:val="single" w:sz="8" w:color="CCEEFF"/>
            </w:tcBorders>
            <w:gridSpan w:val="16"/>
            <w:shd w:val="clear" w:color="auto" w:fill="CCEEFF"/>
          </w:tcPr>
          <w:p>
            <w:pPr>
              <w:spacing w:after="0" w:line="162" w:lineRule="exact"/>
              <w:rPr>
                <w:sz w:val="20"/>
                <w:szCs w:val="20"/>
                <w:color w:val="auto"/>
              </w:rPr>
            </w:pPr>
            <w:r>
              <w:rPr>
                <w:rFonts w:ascii="Arial" w:cs="Arial" w:eastAsia="Arial" w:hAnsi="Arial"/>
                <w:sz w:val="18"/>
                <w:szCs w:val="18"/>
                <w:color w:val="0000EE"/>
              </w:rPr>
              <w:t>PLAN OF DISTRIBUTION</w:t>
            </w:r>
          </w:p>
        </w:tc>
        <w:tc>
          <w:tcPr>
            <w:tcW w:w="2560" w:type="dxa"/>
            <w:vAlign w:val="bottom"/>
            <w:tcBorders>
              <w:bottom w:val="single" w:sz="8" w:color="CCEEFF"/>
            </w:tcBorders>
            <w:shd w:val="clear" w:color="auto" w:fill="CCEEFF"/>
          </w:tcPr>
          <w:p>
            <w:pPr>
              <w:ind w:left="2440"/>
              <w:spacing w:after="0"/>
              <w:rPr>
                <w:sz w:val="20"/>
                <w:szCs w:val="20"/>
                <w:color w:val="auto"/>
              </w:rPr>
            </w:pPr>
            <w:r>
              <w:rPr>
                <w:rFonts w:ascii="Arial" w:cs="Arial" w:eastAsia="Arial" w:hAnsi="Arial"/>
                <w:sz w:val="4"/>
                <w:szCs w:val="4"/>
                <w:color w:val="auto"/>
              </w:rPr>
              <w:t>​</w:t>
            </w:r>
          </w:p>
        </w:tc>
        <w:tc>
          <w:tcPr>
            <w:tcW w:w="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4"/>
                <w:szCs w:val="4"/>
                <w:color w:val="auto"/>
              </w:rPr>
              <w:t>​</w:t>
            </w:r>
          </w:p>
        </w:tc>
        <w:tc>
          <w:tcPr>
            <w:tcW w:w="300" w:type="dxa"/>
            <w:vAlign w:val="bottom"/>
            <w:tcBorders>
              <w:bottom w:val="single" w:sz="8" w:color="CCEEFF"/>
            </w:tcBorders>
            <w:gridSpan w:val="3"/>
            <w:shd w:val="clear" w:color="auto" w:fill="CCEEFF"/>
          </w:tcPr>
          <w:p>
            <w:pPr>
              <w:jc w:val="right"/>
              <w:spacing w:after="0" w:line="162" w:lineRule="exact"/>
              <w:rPr>
                <w:sz w:val="20"/>
                <w:szCs w:val="20"/>
                <w:color w:val="auto"/>
              </w:rPr>
            </w:pPr>
            <w:r>
              <w:rPr>
                <w:rFonts w:ascii="Arial" w:cs="Arial" w:eastAsia="Arial" w:hAnsi="Arial"/>
                <w:sz w:val="18"/>
                <w:szCs w:val="18"/>
                <w:color w:val="0000EE"/>
              </w:rPr>
              <w:t>25</w:t>
            </w:r>
          </w:p>
        </w:tc>
      </w:tr>
      <w:tr>
        <w:trPr>
          <w:trHeight w:val="75"/>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1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5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r>
      <w:tr>
        <w:trPr>
          <w:trHeight w:val="172"/>
        </w:trPr>
        <w:tc>
          <w:tcPr>
            <w:tcW w:w="5320" w:type="dxa"/>
            <w:vAlign w:val="bottom"/>
            <w:gridSpan w:val="16"/>
          </w:tcPr>
          <w:p>
            <w:pPr>
              <w:spacing w:after="0" w:line="162" w:lineRule="exact"/>
              <w:rPr>
                <w:sz w:val="20"/>
                <w:szCs w:val="20"/>
                <w:color w:val="auto"/>
              </w:rPr>
            </w:pPr>
            <w:r>
              <w:rPr>
                <w:rFonts w:ascii="Arial" w:cs="Arial" w:eastAsia="Arial" w:hAnsi="Arial"/>
                <w:sz w:val="18"/>
                <w:szCs w:val="18"/>
                <w:color w:val="0000EE"/>
              </w:rPr>
              <w:t>LEGAL MATTERS</w:t>
            </w:r>
          </w:p>
        </w:tc>
        <w:tc>
          <w:tcPr>
            <w:tcW w:w="2560" w:type="dxa"/>
            <w:vAlign w:val="bottom"/>
          </w:tcPr>
          <w:p>
            <w:pPr>
              <w:ind w:left="2440"/>
              <w:spacing w:after="0"/>
              <w:rPr>
                <w:sz w:val="20"/>
                <w:szCs w:val="20"/>
                <w:color w:val="auto"/>
              </w:rPr>
            </w:pPr>
            <w:r>
              <w:rPr>
                <w:rFonts w:ascii="Arial" w:cs="Arial" w:eastAsia="Arial" w:hAnsi="Arial"/>
                <w:sz w:val="4"/>
                <w:szCs w:val="4"/>
                <w:color w:val="auto"/>
              </w:rPr>
              <w:t>​</w:t>
            </w:r>
          </w:p>
        </w:tc>
        <w:tc>
          <w:tcPr>
            <w:tcW w:w="240" w:type="dxa"/>
            <w:vAlign w:val="bottom"/>
          </w:tcPr>
          <w:p>
            <w:pPr>
              <w:ind w:left="120"/>
              <w:spacing w:after="0"/>
              <w:rPr>
                <w:sz w:val="20"/>
                <w:szCs w:val="20"/>
                <w:color w:val="auto"/>
              </w:rPr>
            </w:pPr>
            <w:r>
              <w:rPr>
                <w:rFonts w:ascii="Arial" w:cs="Arial" w:eastAsia="Arial" w:hAnsi="Arial"/>
                <w:sz w:val="4"/>
                <w:szCs w:val="4"/>
                <w:color w:val="auto"/>
              </w:rPr>
              <w:t>​</w:t>
            </w:r>
          </w:p>
        </w:tc>
        <w:tc>
          <w:tcPr>
            <w:tcW w:w="300" w:type="dxa"/>
            <w:vAlign w:val="bottom"/>
            <w:gridSpan w:val="3"/>
          </w:tcPr>
          <w:p>
            <w:pPr>
              <w:jc w:val="right"/>
              <w:spacing w:after="0" w:line="162" w:lineRule="exact"/>
              <w:rPr>
                <w:sz w:val="20"/>
                <w:szCs w:val="20"/>
                <w:color w:val="auto"/>
              </w:rPr>
            </w:pPr>
            <w:r>
              <w:rPr>
                <w:rFonts w:ascii="Arial" w:cs="Arial" w:eastAsia="Arial" w:hAnsi="Arial"/>
                <w:sz w:val="18"/>
                <w:szCs w:val="18"/>
                <w:color w:val="0000EE"/>
              </w:rPr>
              <w:t>26</w:t>
            </w:r>
          </w:p>
        </w:tc>
      </w:tr>
      <w:tr>
        <w:trPr>
          <w:trHeight w:val="58"/>
        </w:trPr>
        <w:tc>
          <w:tcPr>
            <w:tcW w:w="760" w:type="dxa"/>
            <w:vAlign w:val="bottom"/>
            <w:tcBorders>
              <w:bottom w:val="single" w:sz="8" w:color="0000EE"/>
            </w:tcBorders>
          </w:tcPr>
          <w:p>
            <w:pPr>
              <w:spacing w:after="0"/>
              <w:rPr>
                <w:sz w:val="5"/>
                <w:szCs w:val="5"/>
                <w:color w:val="auto"/>
              </w:rPr>
            </w:pPr>
          </w:p>
        </w:tc>
        <w:tc>
          <w:tcPr>
            <w:tcW w:w="480" w:type="dxa"/>
            <w:vAlign w:val="bottom"/>
            <w:tcBorders>
              <w:bottom w:val="single" w:sz="8" w:color="0000EE"/>
            </w:tcBorders>
          </w:tcPr>
          <w:p>
            <w:pPr>
              <w:spacing w:after="0"/>
              <w:rPr>
                <w:sz w:val="5"/>
                <w:szCs w:val="5"/>
                <w:color w:val="auto"/>
              </w:rPr>
            </w:pPr>
          </w:p>
        </w:tc>
        <w:tc>
          <w:tcPr>
            <w:tcW w:w="200" w:type="dxa"/>
            <w:vAlign w:val="bottom"/>
            <w:tcBorders>
              <w:bottom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Borders>
              <w:bottom w:val="single" w:sz="8" w:color="0000EE"/>
            </w:tcBorders>
          </w:tcPr>
          <w:p>
            <w:pPr>
              <w:spacing w:after="0"/>
              <w:rPr>
                <w:sz w:val="5"/>
                <w:szCs w:val="5"/>
                <w:color w:val="auto"/>
              </w:rPr>
            </w:pPr>
          </w:p>
        </w:tc>
        <w:tc>
          <w:tcPr>
            <w:tcW w:w="100" w:type="dxa"/>
            <w:vAlign w:val="bottom"/>
            <w:tcBorders>
              <w:bottom w:val="single" w:sz="8" w:color="0000EE"/>
            </w:tcBorders>
          </w:tcPr>
          <w:p>
            <w:pPr>
              <w:spacing w:after="0"/>
              <w:rPr>
                <w:sz w:val="5"/>
                <w:szCs w:val="5"/>
                <w:color w:val="auto"/>
              </w:rPr>
            </w:pPr>
          </w:p>
        </w:tc>
      </w:tr>
      <w:tr>
        <w:trPr>
          <w:trHeight w:val="75"/>
        </w:trPr>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34"/>
        </w:trPr>
        <w:tc>
          <w:tcPr>
            <w:tcW w:w="5320" w:type="dxa"/>
            <w:vAlign w:val="bottom"/>
            <w:tcBorders>
              <w:bottom w:val="single" w:sz="8" w:color="CCEEFF"/>
            </w:tcBorders>
            <w:gridSpan w:val="16"/>
            <w:shd w:val="clear" w:color="auto" w:fill="CCEEFF"/>
          </w:tcPr>
          <w:p>
            <w:pPr>
              <w:spacing w:after="0" w:line="162" w:lineRule="exact"/>
              <w:rPr>
                <w:sz w:val="20"/>
                <w:szCs w:val="20"/>
                <w:color w:val="auto"/>
              </w:rPr>
            </w:pPr>
            <w:r>
              <w:rPr>
                <w:rFonts w:ascii="Arial" w:cs="Arial" w:eastAsia="Arial" w:hAnsi="Arial"/>
                <w:sz w:val="18"/>
                <w:szCs w:val="18"/>
                <w:color w:val="0000EE"/>
              </w:rPr>
              <w:t>EXPERTS</w:t>
            </w:r>
          </w:p>
        </w:tc>
        <w:tc>
          <w:tcPr>
            <w:tcW w:w="2560" w:type="dxa"/>
            <w:vAlign w:val="bottom"/>
            <w:tcBorders>
              <w:bottom w:val="single" w:sz="8" w:color="CCEEFF"/>
            </w:tcBorders>
            <w:shd w:val="clear" w:color="auto" w:fill="CCEEFF"/>
          </w:tcPr>
          <w:p>
            <w:pPr>
              <w:ind w:left="2440"/>
              <w:spacing w:after="0"/>
              <w:rPr>
                <w:sz w:val="20"/>
                <w:szCs w:val="20"/>
                <w:color w:val="auto"/>
              </w:rPr>
            </w:pPr>
            <w:r>
              <w:rPr>
                <w:rFonts w:ascii="Arial" w:cs="Arial" w:eastAsia="Arial" w:hAnsi="Arial"/>
                <w:sz w:val="4"/>
                <w:szCs w:val="4"/>
                <w:color w:val="auto"/>
              </w:rPr>
              <w:t>​</w:t>
            </w:r>
          </w:p>
        </w:tc>
        <w:tc>
          <w:tcPr>
            <w:tcW w:w="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4"/>
                <w:szCs w:val="4"/>
                <w:color w:val="auto"/>
              </w:rPr>
              <w:t>​</w:t>
            </w:r>
          </w:p>
        </w:tc>
        <w:tc>
          <w:tcPr>
            <w:tcW w:w="300" w:type="dxa"/>
            <w:vAlign w:val="bottom"/>
            <w:tcBorders>
              <w:bottom w:val="single" w:sz="8" w:color="CCEEFF"/>
            </w:tcBorders>
            <w:gridSpan w:val="3"/>
            <w:shd w:val="clear" w:color="auto" w:fill="CCEEFF"/>
          </w:tcPr>
          <w:p>
            <w:pPr>
              <w:jc w:val="right"/>
              <w:spacing w:after="0" w:line="162" w:lineRule="exact"/>
              <w:rPr>
                <w:sz w:val="20"/>
                <w:szCs w:val="20"/>
                <w:color w:val="auto"/>
              </w:rPr>
            </w:pPr>
            <w:r>
              <w:rPr>
                <w:rFonts w:ascii="Arial" w:cs="Arial" w:eastAsia="Arial" w:hAnsi="Arial"/>
                <w:sz w:val="18"/>
                <w:szCs w:val="18"/>
                <w:color w:val="0000EE"/>
              </w:rPr>
              <w:t>26</w:t>
            </w:r>
          </w:p>
        </w:tc>
      </w:tr>
      <w:tr>
        <w:trPr>
          <w:trHeight w:val="74"/>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1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5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r>
      <w:tr>
        <w:trPr>
          <w:trHeight w:val="172"/>
        </w:trPr>
        <w:tc>
          <w:tcPr>
            <w:tcW w:w="5320" w:type="dxa"/>
            <w:vAlign w:val="bottom"/>
            <w:gridSpan w:val="16"/>
          </w:tcPr>
          <w:p>
            <w:pPr>
              <w:spacing w:after="0" w:line="162" w:lineRule="exact"/>
              <w:rPr>
                <w:sz w:val="20"/>
                <w:szCs w:val="20"/>
                <w:color w:val="auto"/>
              </w:rPr>
            </w:pPr>
            <w:r>
              <w:rPr>
                <w:rFonts w:ascii="Arial" w:cs="Arial" w:eastAsia="Arial" w:hAnsi="Arial"/>
                <w:sz w:val="18"/>
                <w:szCs w:val="18"/>
                <w:color w:val="0000EE"/>
              </w:rPr>
              <w:t>WHERE YOU CAN FIND MORE INFORMATION</w:t>
            </w:r>
          </w:p>
        </w:tc>
        <w:tc>
          <w:tcPr>
            <w:tcW w:w="2560" w:type="dxa"/>
            <w:vAlign w:val="bottom"/>
          </w:tcPr>
          <w:p>
            <w:pPr>
              <w:ind w:left="2440"/>
              <w:spacing w:after="0"/>
              <w:rPr>
                <w:sz w:val="20"/>
                <w:szCs w:val="20"/>
                <w:color w:val="auto"/>
              </w:rPr>
            </w:pPr>
            <w:r>
              <w:rPr>
                <w:rFonts w:ascii="Arial" w:cs="Arial" w:eastAsia="Arial" w:hAnsi="Arial"/>
                <w:sz w:val="4"/>
                <w:szCs w:val="4"/>
                <w:color w:val="auto"/>
              </w:rPr>
              <w:t>​</w:t>
            </w:r>
          </w:p>
        </w:tc>
        <w:tc>
          <w:tcPr>
            <w:tcW w:w="240" w:type="dxa"/>
            <w:vAlign w:val="bottom"/>
          </w:tcPr>
          <w:p>
            <w:pPr>
              <w:ind w:left="120"/>
              <w:spacing w:after="0"/>
              <w:rPr>
                <w:sz w:val="20"/>
                <w:szCs w:val="20"/>
                <w:color w:val="auto"/>
              </w:rPr>
            </w:pPr>
            <w:r>
              <w:rPr>
                <w:rFonts w:ascii="Arial" w:cs="Arial" w:eastAsia="Arial" w:hAnsi="Arial"/>
                <w:sz w:val="4"/>
                <w:szCs w:val="4"/>
                <w:color w:val="auto"/>
              </w:rPr>
              <w:t>​</w:t>
            </w:r>
          </w:p>
        </w:tc>
        <w:tc>
          <w:tcPr>
            <w:tcW w:w="300" w:type="dxa"/>
            <w:vAlign w:val="bottom"/>
            <w:gridSpan w:val="3"/>
          </w:tcPr>
          <w:p>
            <w:pPr>
              <w:jc w:val="right"/>
              <w:spacing w:after="0" w:line="162" w:lineRule="exact"/>
              <w:rPr>
                <w:sz w:val="20"/>
                <w:szCs w:val="20"/>
                <w:color w:val="auto"/>
              </w:rPr>
            </w:pPr>
            <w:r>
              <w:rPr>
                <w:rFonts w:ascii="Arial" w:cs="Arial" w:eastAsia="Arial" w:hAnsi="Arial"/>
                <w:sz w:val="18"/>
                <w:szCs w:val="18"/>
                <w:color w:val="0000EE"/>
              </w:rPr>
              <w:t>27</w:t>
            </w:r>
          </w:p>
        </w:tc>
      </w:tr>
      <w:tr>
        <w:trPr>
          <w:trHeight w:val="58"/>
        </w:trPr>
        <w:tc>
          <w:tcPr>
            <w:tcW w:w="760" w:type="dxa"/>
            <w:vAlign w:val="bottom"/>
            <w:tcBorders>
              <w:bottom w:val="single" w:sz="8" w:color="0000EE"/>
            </w:tcBorders>
          </w:tcPr>
          <w:p>
            <w:pPr>
              <w:spacing w:after="0"/>
              <w:rPr>
                <w:sz w:val="5"/>
                <w:szCs w:val="5"/>
                <w:color w:val="auto"/>
              </w:rPr>
            </w:pPr>
          </w:p>
        </w:tc>
        <w:tc>
          <w:tcPr>
            <w:tcW w:w="480" w:type="dxa"/>
            <w:vAlign w:val="bottom"/>
            <w:tcBorders>
              <w:bottom w:val="single" w:sz="8" w:color="0000EE"/>
            </w:tcBorders>
          </w:tcPr>
          <w:p>
            <w:pPr>
              <w:spacing w:after="0"/>
              <w:rPr>
                <w:sz w:val="5"/>
                <w:szCs w:val="5"/>
                <w:color w:val="auto"/>
              </w:rPr>
            </w:pPr>
          </w:p>
        </w:tc>
        <w:tc>
          <w:tcPr>
            <w:tcW w:w="200" w:type="dxa"/>
            <w:vAlign w:val="bottom"/>
            <w:tcBorders>
              <w:bottom w:val="single" w:sz="8" w:color="0000EE"/>
            </w:tcBorders>
          </w:tcPr>
          <w:p>
            <w:pPr>
              <w:spacing w:after="0"/>
              <w:rPr>
                <w:sz w:val="5"/>
                <w:szCs w:val="5"/>
                <w:color w:val="auto"/>
              </w:rPr>
            </w:pPr>
          </w:p>
        </w:tc>
        <w:tc>
          <w:tcPr>
            <w:tcW w:w="80" w:type="dxa"/>
            <w:vAlign w:val="bottom"/>
            <w:tcBorders>
              <w:bottom w:val="single" w:sz="8" w:color="0000EE"/>
            </w:tcBorders>
          </w:tcPr>
          <w:p>
            <w:pPr>
              <w:spacing w:after="0"/>
              <w:rPr>
                <w:sz w:val="5"/>
                <w:szCs w:val="5"/>
                <w:color w:val="auto"/>
              </w:rPr>
            </w:pPr>
          </w:p>
        </w:tc>
        <w:tc>
          <w:tcPr>
            <w:tcW w:w="60" w:type="dxa"/>
            <w:vAlign w:val="bottom"/>
            <w:tcBorders>
              <w:bottom w:val="single" w:sz="8" w:color="0000EE"/>
            </w:tcBorders>
          </w:tcPr>
          <w:p>
            <w:pPr>
              <w:spacing w:after="0"/>
              <w:rPr>
                <w:sz w:val="5"/>
                <w:szCs w:val="5"/>
                <w:color w:val="auto"/>
              </w:rPr>
            </w:pPr>
          </w:p>
        </w:tc>
        <w:tc>
          <w:tcPr>
            <w:tcW w:w="460" w:type="dxa"/>
            <w:vAlign w:val="bottom"/>
            <w:tcBorders>
              <w:bottom w:val="single" w:sz="8" w:color="0000EE"/>
            </w:tcBorders>
          </w:tcPr>
          <w:p>
            <w:pPr>
              <w:spacing w:after="0"/>
              <w:rPr>
                <w:sz w:val="5"/>
                <w:szCs w:val="5"/>
                <w:color w:val="auto"/>
              </w:rPr>
            </w:pPr>
          </w:p>
        </w:tc>
        <w:tc>
          <w:tcPr>
            <w:tcW w:w="40" w:type="dxa"/>
            <w:vAlign w:val="bottom"/>
            <w:tcBorders>
              <w:bottom w:val="single" w:sz="8" w:color="0000EE"/>
            </w:tcBorders>
          </w:tcPr>
          <w:p>
            <w:pPr>
              <w:spacing w:after="0"/>
              <w:rPr>
                <w:sz w:val="5"/>
                <w:szCs w:val="5"/>
                <w:color w:val="auto"/>
              </w:rPr>
            </w:pPr>
          </w:p>
        </w:tc>
        <w:tc>
          <w:tcPr>
            <w:tcW w:w="140" w:type="dxa"/>
            <w:vAlign w:val="bottom"/>
            <w:tcBorders>
              <w:bottom w:val="single" w:sz="8" w:color="0000EE"/>
            </w:tcBorders>
          </w:tcPr>
          <w:p>
            <w:pPr>
              <w:spacing w:after="0"/>
              <w:rPr>
                <w:sz w:val="5"/>
                <w:szCs w:val="5"/>
                <w:color w:val="auto"/>
              </w:rPr>
            </w:pPr>
          </w:p>
        </w:tc>
        <w:tc>
          <w:tcPr>
            <w:tcW w:w="240" w:type="dxa"/>
            <w:vAlign w:val="bottom"/>
            <w:tcBorders>
              <w:bottom w:val="single" w:sz="8" w:color="0000EE"/>
            </w:tcBorders>
          </w:tcPr>
          <w:p>
            <w:pPr>
              <w:spacing w:after="0"/>
              <w:rPr>
                <w:sz w:val="5"/>
                <w:szCs w:val="5"/>
                <w:color w:val="auto"/>
              </w:rPr>
            </w:pPr>
          </w:p>
        </w:tc>
        <w:tc>
          <w:tcPr>
            <w:tcW w:w="40" w:type="dxa"/>
            <w:vAlign w:val="bottom"/>
            <w:tcBorders>
              <w:bottom w:val="single" w:sz="8" w:color="0000EE"/>
            </w:tcBorders>
          </w:tcPr>
          <w:p>
            <w:pPr>
              <w:spacing w:after="0"/>
              <w:rPr>
                <w:sz w:val="5"/>
                <w:szCs w:val="5"/>
                <w:color w:val="auto"/>
              </w:rPr>
            </w:pPr>
          </w:p>
        </w:tc>
        <w:tc>
          <w:tcPr>
            <w:tcW w:w="360" w:type="dxa"/>
            <w:vAlign w:val="bottom"/>
            <w:tcBorders>
              <w:bottom w:val="single" w:sz="8" w:color="0000EE"/>
            </w:tcBorders>
          </w:tcPr>
          <w:p>
            <w:pPr>
              <w:spacing w:after="0"/>
              <w:rPr>
                <w:sz w:val="5"/>
                <w:szCs w:val="5"/>
                <w:color w:val="auto"/>
              </w:rPr>
            </w:pPr>
          </w:p>
        </w:tc>
        <w:tc>
          <w:tcPr>
            <w:tcW w:w="140" w:type="dxa"/>
            <w:vAlign w:val="bottom"/>
            <w:tcBorders>
              <w:bottom w:val="single" w:sz="8" w:color="0000EE"/>
            </w:tcBorders>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780" w:type="dxa"/>
            <w:vAlign w:val="bottom"/>
            <w:tcBorders>
              <w:bottom w:val="single" w:sz="8" w:color="0000EE"/>
            </w:tcBorders>
          </w:tcPr>
          <w:p>
            <w:pPr>
              <w:spacing w:after="0"/>
              <w:rPr>
                <w:sz w:val="5"/>
                <w:szCs w:val="5"/>
                <w:color w:val="auto"/>
              </w:rPr>
            </w:pPr>
          </w:p>
        </w:tc>
        <w:tc>
          <w:tcPr>
            <w:tcW w:w="1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Borders>
              <w:bottom w:val="single" w:sz="8" w:color="0000EE"/>
            </w:tcBorders>
          </w:tcPr>
          <w:p>
            <w:pPr>
              <w:spacing w:after="0"/>
              <w:rPr>
                <w:sz w:val="5"/>
                <w:szCs w:val="5"/>
                <w:color w:val="auto"/>
              </w:rPr>
            </w:pPr>
          </w:p>
        </w:tc>
        <w:tc>
          <w:tcPr>
            <w:tcW w:w="100" w:type="dxa"/>
            <w:vAlign w:val="bottom"/>
            <w:tcBorders>
              <w:bottom w:val="single" w:sz="8" w:color="0000EE"/>
            </w:tcBorders>
          </w:tcPr>
          <w:p>
            <w:pPr>
              <w:spacing w:after="0"/>
              <w:rPr>
                <w:sz w:val="5"/>
                <w:szCs w:val="5"/>
                <w:color w:val="auto"/>
              </w:rPr>
            </w:pPr>
          </w:p>
        </w:tc>
      </w:tr>
      <w:tr>
        <w:trPr>
          <w:trHeight w:val="74"/>
        </w:trPr>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35"/>
        </w:trPr>
        <w:tc>
          <w:tcPr>
            <w:tcW w:w="5320" w:type="dxa"/>
            <w:vAlign w:val="bottom"/>
            <w:tcBorders>
              <w:bottom w:val="single" w:sz="8" w:color="CCEEFF"/>
            </w:tcBorders>
            <w:gridSpan w:val="16"/>
            <w:shd w:val="clear" w:color="auto" w:fill="CCEEFF"/>
          </w:tcPr>
          <w:p>
            <w:pPr>
              <w:spacing w:after="0" w:line="162" w:lineRule="exact"/>
              <w:rPr>
                <w:sz w:val="20"/>
                <w:szCs w:val="20"/>
                <w:color w:val="auto"/>
              </w:rPr>
            </w:pPr>
            <w:r>
              <w:rPr>
                <w:rFonts w:ascii="Arial" w:cs="Arial" w:eastAsia="Arial" w:hAnsi="Arial"/>
                <w:sz w:val="18"/>
                <w:szCs w:val="18"/>
                <w:color w:val="0000EE"/>
                <w:w w:val="97"/>
              </w:rPr>
              <w:t>INCORPORATION OF CERTAIN INFORMATION BY REFERENCE</w:t>
            </w:r>
          </w:p>
        </w:tc>
        <w:tc>
          <w:tcPr>
            <w:tcW w:w="2560" w:type="dxa"/>
            <w:vAlign w:val="bottom"/>
            <w:tcBorders>
              <w:bottom w:val="single" w:sz="8" w:color="CCEEFF"/>
            </w:tcBorders>
            <w:shd w:val="clear" w:color="auto" w:fill="CCEEFF"/>
          </w:tcPr>
          <w:p>
            <w:pPr>
              <w:ind w:left="2440"/>
              <w:spacing w:after="0"/>
              <w:rPr>
                <w:sz w:val="20"/>
                <w:szCs w:val="20"/>
                <w:color w:val="auto"/>
              </w:rPr>
            </w:pPr>
            <w:r>
              <w:rPr>
                <w:rFonts w:ascii="Arial" w:cs="Arial" w:eastAsia="Arial" w:hAnsi="Arial"/>
                <w:sz w:val="4"/>
                <w:szCs w:val="4"/>
                <w:color w:val="auto"/>
              </w:rPr>
              <w:t>​</w:t>
            </w:r>
          </w:p>
        </w:tc>
        <w:tc>
          <w:tcPr>
            <w:tcW w:w="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4"/>
                <w:szCs w:val="4"/>
                <w:color w:val="auto"/>
              </w:rPr>
              <w:t>​</w:t>
            </w:r>
          </w:p>
        </w:tc>
        <w:tc>
          <w:tcPr>
            <w:tcW w:w="300" w:type="dxa"/>
            <w:vAlign w:val="bottom"/>
            <w:tcBorders>
              <w:bottom w:val="single" w:sz="8" w:color="CCEEFF"/>
            </w:tcBorders>
            <w:gridSpan w:val="3"/>
            <w:shd w:val="clear" w:color="auto" w:fill="CCEEFF"/>
          </w:tcPr>
          <w:p>
            <w:pPr>
              <w:jc w:val="right"/>
              <w:spacing w:after="0" w:line="162" w:lineRule="exact"/>
              <w:rPr>
                <w:sz w:val="20"/>
                <w:szCs w:val="20"/>
                <w:color w:val="auto"/>
              </w:rPr>
            </w:pPr>
            <w:r>
              <w:rPr>
                <w:rFonts w:ascii="Arial" w:cs="Arial" w:eastAsia="Arial" w:hAnsi="Arial"/>
                <w:sz w:val="18"/>
                <w:szCs w:val="18"/>
                <w:color w:val="0000EE"/>
              </w:rPr>
              <w:t>28</w:t>
            </w:r>
          </w:p>
        </w:tc>
      </w:tr>
      <w:tr>
        <w:trPr>
          <w:trHeight w:val="74"/>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780" w:type="dxa"/>
            <w:vAlign w:val="bottom"/>
            <w:tcBorders>
              <w:top w:val="single" w:sz="8" w:color="0000EE"/>
            </w:tcBorders>
            <w:shd w:val="clear" w:color="auto" w:fill="CCEEFF"/>
          </w:tcPr>
          <w:p>
            <w:pPr>
              <w:spacing w:after="0"/>
              <w:rPr>
                <w:sz w:val="6"/>
                <w:szCs w:val="6"/>
                <w:color w:val="auto"/>
              </w:rPr>
            </w:pPr>
          </w:p>
        </w:tc>
        <w:tc>
          <w:tcPr>
            <w:tcW w:w="13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5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26" w:name="page27"/>
    <w:bookmarkEnd w:id="26"/>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21" w:lineRule="exact"/>
        <w:rPr>
          <w:sz w:val="20"/>
          <w:szCs w:val="20"/>
          <w:color w:val="auto"/>
        </w:rPr>
      </w:pPr>
    </w:p>
    <w:p>
      <w:pPr>
        <w:ind w:left="300" w:right="539"/>
        <w:spacing w:after="0" w:line="291" w:lineRule="auto"/>
        <w:rPr>
          <w:sz w:val="20"/>
          <w:szCs w:val="20"/>
          <w:color w:val="auto"/>
        </w:rPr>
      </w:pPr>
      <w:r>
        <w:rPr>
          <w:rFonts w:ascii="Arial" w:cs="Arial" w:eastAsia="Arial" w:hAnsi="Arial"/>
          <w:sz w:val="16"/>
          <w:szCs w:val="16"/>
          <w:color w:val="auto"/>
        </w:rPr>
        <w:t>This prospectus is part of a registration statement on Form S-3 that we filed with the Securities and Exchange Commission, or SEC, utilizing a “shelf” registration process. Under this shelf registration process, we or selling securityholders may offer and sell shares of our Class 2 common stock and preferred stock, various series of debt securities and/or warrants to purchase any of such securities, either individually or in combination with other securities, in one or more offerings. There is no limit on the aggregate amount of the securities that we or selling securityholders may offer pursuant to the registration statement of which this prospectus is a part. This prospectus provides you with a general description of the securities we or selling securityholders may offer.</w:t>
      </w:r>
    </w:p>
    <w:p>
      <w:pPr>
        <w:spacing w:after="0" w:line="58" w:lineRule="exact"/>
        <w:rPr>
          <w:sz w:val="20"/>
          <w:szCs w:val="20"/>
          <w:color w:val="auto"/>
        </w:rPr>
      </w:pPr>
    </w:p>
    <w:p>
      <w:pPr>
        <w:ind w:left="300" w:right="319"/>
        <w:spacing w:after="0" w:line="289" w:lineRule="auto"/>
        <w:rPr>
          <w:sz w:val="20"/>
          <w:szCs w:val="20"/>
          <w:color w:val="auto"/>
        </w:rPr>
      </w:pPr>
      <w:r>
        <w:rPr>
          <w:rFonts w:ascii="Arial" w:cs="Arial" w:eastAsia="Arial" w:hAnsi="Arial"/>
          <w:sz w:val="16"/>
          <w:szCs w:val="16"/>
          <w:color w:val="auto"/>
        </w:rPr>
        <w:t>Each time we or selling securityholders offer securities under this prospectus, we will provide a prospectus supplement that will contain more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any of the information contained in this prospectus or in the documents that we have incorporated by reference into this prospectus. We urge you to read carefully this prospectus, any applicable prospectus supplement and any free writing prospectuses we have authorized for use in connection with a specific offering, together with the information incorporated herein by reference as described under the heading “Incorporation of Certain Information by Reference,” before buying any of the securities being offered.</w:t>
      </w:r>
    </w:p>
    <w:p>
      <w:pPr>
        <w:spacing w:after="0" w:line="324" w:lineRule="exact"/>
        <w:rPr>
          <w:sz w:val="20"/>
          <w:szCs w:val="20"/>
          <w:color w:val="auto"/>
        </w:rPr>
      </w:pPr>
    </w:p>
    <w:p>
      <w:pPr>
        <w:ind w:left="300" w:right="459"/>
        <w:spacing w:after="0" w:line="282" w:lineRule="auto"/>
        <w:rPr>
          <w:sz w:val="20"/>
          <w:szCs w:val="20"/>
          <w:color w:val="auto"/>
        </w:rPr>
      </w:pPr>
      <w:r>
        <w:rPr>
          <w:rFonts w:ascii="Arial" w:cs="Arial" w:eastAsia="Arial" w:hAnsi="Arial"/>
          <w:sz w:val="18"/>
          <w:szCs w:val="18"/>
          <w:b w:val="1"/>
          <w:bCs w:val="1"/>
          <w:color w:val="auto"/>
        </w:rPr>
        <w:t>This prospectus may not be used to consummate a sale of securities unless it is accompanied by a prospectus supplement.</w:t>
      </w:r>
    </w:p>
    <w:p>
      <w:pPr>
        <w:spacing w:after="0" w:line="58" w:lineRule="exact"/>
        <w:rPr>
          <w:sz w:val="20"/>
          <w:szCs w:val="20"/>
          <w:color w:val="auto"/>
        </w:rPr>
      </w:pPr>
    </w:p>
    <w:p>
      <w:pPr>
        <w:ind w:left="300" w:right="559"/>
        <w:spacing w:after="0" w:line="275" w:lineRule="auto"/>
        <w:rPr>
          <w:sz w:val="20"/>
          <w:szCs w:val="20"/>
          <w:color w:val="auto"/>
        </w:rPr>
      </w:pPr>
      <w:r>
        <w:rPr>
          <w:rFonts w:ascii="Arial" w:cs="Arial" w:eastAsia="Arial" w:hAnsi="Arial"/>
          <w:sz w:val="17"/>
          <w:szCs w:val="17"/>
          <w:color w:val="auto"/>
        </w:rPr>
        <w:t>You should rely only on the information contained in, or incorporated by reference into, this prospectus and the applicable prospectus supplement, along with the information contained in any free writing prospectuses we have authorized for use in connection with a specific offering. We have not authorized anyone to provide you with different or additional information. This prospectus is an offer to sell only the securities offered hereby, but only under circumstances and in jurisdictions where it is lawful to do so.</w:t>
      </w:r>
    </w:p>
    <w:p>
      <w:pPr>
        <w:spacing w:after="0" w:line="68" w:lineRule="exact"/>
        <w:rPr>
          <w:sz w:val="20"/>
          <w:szCs w:val="20"/>
          <w:color w:val="auto"/>
        </w:rPr>
      </w:pPr>
    </w:p>
    <w:p>
      <w:pPr>
        <w:ind w:left="300" w:right="299"/>
        <w:spacing w:after="0" w:line="296" w:lineRule="auto"/>
        <w:rPr>
          <w:sz w:val="20"/>
          <w:szCs w:val="20"/>
          <w:color w:val="auto"/>
        </w:rPr>
      </w:pPr>
      <w:r>
        <w:rPr>
          <w:rFonts w:ascii="Arial" w:cs="Arial" w:eastAsia="Arial" w:hAnsi="Arial"/>
          <w:sz w:val="16"/>
          <w:szCs w:val="16"/>
          <w:color w:val="auto"/>
        </w:rPr>
        <w:t>The information appearing in this prospectus, any applicable prospectus supplement and any related free writing prospectus is accurate only as of the date on the front of the document and any information we have incorporated by reference is accurate only as of the date of the document incorporated by reference, regardless of the time of delivery of this prospectus, the applicable prospectus supplement or any related free writing prospectus, or any sale of a security. Our business, financial condition, results of operations and prospects may have changed since those dates.</w:t>
      </w:r>
    </w:p>
    <w:p>
      <w:pPr>
        <w:spacing w:after="0" w:line="53" w:lineRule="exact"/>
        <w:rPr>
          <w:sz w:val="20"/>
          <w:szCs w:val="20"/>
          <w:color w:val="auto"/>
        </w:rPr>
      </w:pPr>
    </w:p>
    <w:p>
      <w:pPr>
        <w:ind w:left="300" w:right="299"/>
        <w:spacing w:after="0" w:line="255" w:lineRule="auto"/>
        <w:rPr>
          <w:sz w:val="20"/>
          <w:szCs w:val="20"/>
          <w:color w:val="auto"/>
        </w:rPr>
      </w:pPr>
      <w:r>
        <w:rPr>
          <w:rFonts w:ascii="Arial" w:cs="Arial" w:eastAsia="Arial" w:hAnsi="Arial"/>
          <w:sz w:val="18"/>
          <w:szCs w:val="18"/>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entitled “Where You Can Find More Information.”</w:t>
      </w:r>
    </w:p>
    <w:p>
      <w:pPr>
        <w:spacing w:after="0" w:line="84" w:lineRule="exact"/>
        <w:rPr>
          <w:sz w:val="20"/>
          <w:szCs w:val="20"/>
          <w:color w:val="auto"/>
        </w:rPr>
      </w:pPr>
    </w:p>
    <w:p>
      <w:pPr>
        <w:ind w:left="300" w:right="299"/>
        <w:spacing w:after="0" w:line="290" w:lineRule="auto"/>
        <w:rPr>
          <w:sz w:val="20"/>
          <w:szCs w:val="20"/>
          <w:color w:val="auto"/>
        </w:rPr>
      </w:pPr>
      <w:r>
        <w:rPr>
          <w:rFonts w:ascii="Arial" w:cs="Arial" w:eastAsia="Arial" w:hAnsi="Arial"/>
          <w:sz w:val="16"/>
          <w:szCs w:val="16"/>
          <w:color w:val="auto"/>
        </w:rPr>
        <w:t>Unless the context requires otherwise, references in this prospectus to “Tilray,” the “company,” “we,” “us” and “our” refer to Tilray Brands, Inc. and its wholly owned subsidiaries. Tilray, our logo and our other registered or common law trademarks, trade names or service marks appearing in this prospectus are owned by us. Solely for convenience, trademarks and trade names referred to in this prospectus, including logos, artwork and other visual displays, may appear without the ® or ™ symbols, but such references are not intended to indicate in any way that we will not assert, to the fullest extent under applicable law, our rights of the applicable licensor to these trademarks and trade names. Unless otherwise stated in this prospectus, we do not intend our use or display of other companies’ trade names or trademarks to imply a relationship with, or endorsement or sponsorship of us by, any other companies.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 w:name="page28"/>
    <w:bookmarkEnd w:id="27"/>
    <w:p>
      <w:pPr>
        <w:ind w:left="8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44515" cy="81565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7">
                      <a:extLst>
                        <a:ext uri="{28A0092B-C50C-407E-A947-70E740481C1C}"/>
                      </a:extLst>
                    </a:blip>
                    <a:srcRect/>
                    <a:stretch>
                      <a:fillRect/>
                    </a:stretch>
                  </pic:blipFill>
                  <pic:spPr bwMode="auto">
                    <a:xfrm>
                      <a:off x="0" y="0"/>
                      <a:ext cx="5644515" cy="815657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PROSPECTUS SUMMARY</w:t>
      </w:r>
    </w:p>
    <w:p>
      <w:pPr>
        <w:spacing w:after="0" w:line="121" w:lineRule="exact"/>
        <w:rPr>
          <w:sz w:val="20"/>
          <w:szCs w:val="20"/>
          <w:color w:val="auto"/>
        </w:rPr>
      </w:pPr>
    </w:p>
    <w:p>
      <w:pPr>
        <w:ind w:left="300" w:right="299"/>
        <w:spacing w:after="0" w:line="290" w:lineRule="auto"/>
        <w:rPr>
          <w:sz w:val="20"/>
          <w:szCs w:val="20"/>
          <w:color w:val="auto"/>
        </w:rPr>
      </w:pPr>
      <w:r>
        <w:rPr>
          <w:rFonts w:ascii="Arial" w:cs="Arial" w:eastAsia="Arial" w:hAnsi="Arial"/>
          <w:sz w:val="16"/>
          <w:szCs w:val="16"/>
          <w:i w:val="1"/>
          <w:iCs w:val="1"/>
          <w:color w:val="auto"/>
        </w:rPr>
        <w:t>This summary highlights selected information contained elsewhere in this prospectus or incorporated by reference in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heading “Risk Factors” contained in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is a part.</w:t>
      </w:r>
    </w:p>
    <w:p>
      <w:pPr>
        <w:spacing w:after="0" w:line="5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ind w:left="300" w:right="399"/>
        <w:spacing w:after="0" w:line="290" w:lineRule="auto"/>
        <w:rPr>
          <w:sz w:val="20"/>
          <w:szCs w:val="20"/>
          <w:color w:val="auto"/>
        </w:rPr>
      </w:pPr>
      <w:r>
        <w:rPr>
          <w:rFonts w:ascii="Arial" w:cs="Arial" w:eastAsia="Arial" w:hAnsi="Arial"/>
          <w:sz w:val="16"/>
          <w:szCs w:val="16"/>
          <w:color w:val="auto"/>
        </w:rPr>
        <w:t>Tilray is a leading global cannabis-lifestyle and consumer packaged goods company with operations in Canada, the United States, Europe, Australia, and Latin America that is changing people’s lives for the better - one person at a time - by inspiring and empowering the worldwide community to live their very best life by providing them with products that meet the needs of their mind, body, and soul and invoke a sense of wellbeing. Tilray’s mission is to be the trusted partner for its patients and consumers by providing them with a cultivated experience and health and wellbeing through high-quality, differentiated brands and innovative products. A pioneer in cannabis research, cultivation, and distribution, Tilray’s unprecedented production platform supports over 20 brands in over 20 countries, including comprehensive cannabis offerings, hemp-based foods, and alcoholic beverages.</w:t>
      </w:r>
    </w:p>
    <w:p>
      <w:pPr>
        <w:spacing w:after="0" w:line="2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00" w:right="319"/>
        <w:spacing w:after="0" w:line="255" w:lineRule="auto"/>
        <w:rPr>
          <w:sz w:val="20"/>
          <w:szCs w:val="20"/>
          <w:color w:val="auto"/>
        </w:rPr>
      </w:pPr>
      <w:r>
        <w:rPr>
          <w:rFonts w:ascii="Arial" w:cs="Arial" w:eastAsia="Arial" w:hAnsi="Arial"/>
          <w:sz w:val="18"/>
          <w:szCs w:val="18"/>
          <w:color w:val="auto"/>
        </w:rPr>
        <w:t>Tilray Brands, Inc. was incorporated in Delaware in January 2018. Prior to January 2018, Tilray Brands, Inc. operated its business under Decatur Holdings, BV, a Dutch private limited liability company (“Decatur”), which was formed in March 2016. Decatur was incorporated under the laws of the Netherlands on March 8, 2016 as a wholly-owned subsidiary of Privateer Holdings, Inc. (“Privateer Holdings”) to hold a 100% ownership interest in Tilray Brands, Inc.’s direct and indirect subsidiaries through which Tilray Brands, Inc. operated its business. Decatur was dissolved on December 27, 2018.</w:t>
      </w:r>
    </w:p>
    <w:p>
      <w:pPr>
        <w:spacing w:after="0" w:line="84" w:lineRule="exact"/>
        <w:rPr>
          <w:sz w:val="20"/>
          <w:szCs w:val="20"/>
          <w:color w:val="auto"/>
        </w:rPr>
      </w:pPr>
    </w:p>
    <w:p>
      <w:pPr>
        <w:ind w:left="300" w:right="519"/>
        <w:spacing w:after="0" w:line="277" w:lineRule="auto"/>
        <w:rPr>
          <w:sz w:val="20"/>
          <w:szCs w:val="20"/>
          <w:color w:val="auto"/>
        </w:rPr>
      </w:pPr>
      <w:r>
        <w:rPr>
          <w:rFonts w:ascii="Arial" w:cs="Arial" w:eastAsia="Arial" w:hAnsi="Arial"/>
          <w:sz w:val="18"/>
          <w:szCs w:val="18"/>
          <w:color w:val="auto"/>
        </w:rPr>
        <w:t>On December 12, 2019, Privateer Holdings merged with and into a wholly owned subsidiary of Tilray pursuant to the agreement and plan of merger and reorganization.</w:t>
      </w:r>
    </w:p>
    <w:p>
      <w:pPr>
        <w:spacing w:after="0" w:line="62" w:lineRule="exact"/>
        <w:rPr>
          <w:sz w:val="20"/>
          <w:szCs w:val="20"/>
          <w:color w:val="auto"/>
        </w:rPr>
      </w:pPr>
    </w:p>
    <w:p>
      <w:pPr>
        <w:ind w:left="300" w:right="359"/>
        <w:spacing w:after="0" w:line="259" w:lineRule="auto"/>
        <w:rPr>
          <w:sz w:val="20"/>
          <w:szCs w:val="20"/>
          <w:color w:val="auto"/>
        </w:rPr>
      </w:pPr>
      <w:r>
        <w:rPr>
          <w:rFonts w:ascii="Arial" w:cs="Arial" w:eastAsia="Arial" w:hAnsi="Arial"/>
          <w:sz w:val="18"/>
          <w:szCs w:val="18"/>
          <w:color w:val="auto"/>
        </w:rPr>
        <w:t>Pursuant to an arrangement agreement, dated as of December 15, 2020, as amended on February 19, 2021, between Tilray and Aphria Inc. (“Aphria”), Tilray implemented an arrangement (the “Arrangement”) under the Business Corporations Act (Ontario) in accordance with a plan of arrangement. The Arrangement was completed on April 30, 2021.</w:t>
      </w:r>
    </w:p>
    <w:p>
      <w:pPr>
        <w:spacing w:after="0" w:line="79" w:lineRule="exact"/>
        <w:rPr>
          <w:sz w:val="20"/>
          <w:szCs w:val="20"/>
          <w:color w:val="auto"/>
        </w:rPr>
      </w:pPr>
    </w:p>
    <w:p>
      <w:pPr>
        <w:ind w:left="300" w:right="419"/>
        <w:spacing w:after="0" w:line="311" w:lineRule="auto"/>
        <w:rPr>
          <w:sz w:val="20"/>
          <w:szCs w:val="20"/>
          <w:color w:val="auto"/>
        </w:rPr>
      </w:pPr>
      <w:r>
        <w:rPr>
          <w:rFonts w:ascii="Arial" w:cs="Arial" w:eastAsia="Arial" w:hAnsi="Arial"/>
          <w:sz w:val="16"/>
          <w:szCs w:val="16"/>
          <w:color w:val="auto"/>
        </w:rPr>
        <w:t>On January 10, 2022, Tilray, Inc. changed its corporate name to Tilray Brands, Inc., pursuant to a second certificate of amendment of the amended and restated certificate of incorporation filed with the Delaware Secretary of State (the “Name Change”), and amended and restated its Bylaws on that same date to reflect the Name Change.</w:t>
      </w:r>
    </w:p>
    <w:p>
      <w:pPr>
        <w:spacing w:after="0" w:line="41" w:lineRule="exact"/>
        <w:rPr>
          <w:sz w:val="20"/>
          <w:szCs w:val="20"/>
          <w:color w:val="auto"/>
        </w:rPr>
      </w:pPr>
    </w:p>
    <w:p>
      <w:pPr>
        <w:ind w:left="300" w:right="379"/>
        <w:spacing w:after="0" w:line="279" w:lineRule="auto"/>
        <w:rPr>
          <w:sz w:val="20"/>
          <w:szCs w:val="20"/>
          <w:color w:val="auto"/>
        </w:rPr>
      </w:pPr>
      <w:r>
        <w:rPr>
          <w:rFonts w:ascii="Arial" w:cs="Arial" w:eastAsia="Arial" w:hAnsi="Arial"/>
          <w:sz w:val="17"/>
          <w:szCs w:val="17"/>
          <w:color w:val="auto"/>
        </w:rPr>
        <w:t>Tilray’s principal executive offices are located at 265 Talbot Street West, Leamington, Ontario, Canada and its telephone number is (844) 845-7291. Its corporate website address is www.tilray.com. Information contained on or accessible through such website is not a part of this prospectus supplement, and the inclusion of the website address in this prospectus supplement is an inactive textual reference only.</w:t>
      </w:r>
    </w:p>
    <w:p>
      <w:pPr>
        <w:spacing w:after="0" w:line="24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Description of Securities</w:t>
      </w:r>
    </w:p>
    <w:p>
      <w:pPr>
        <w:spacing w:after="0" w:line="121" w:lineRule="exact"/>
        <w:rPr>
          <w:sz w:val="20"/>
          <w:szCs w:val="20"/>
          <w:color w:val="auto"/>
        </w:rPr>
      </w:pPr>
    </w:p>
    <w:p>
      <w:pPr>
        <w:ind w:left="300" w:right="379"/>
        <w:spacing w:after="0" w:line="271" w:lineRule="auto"/>
        <w:rPr>
          <w:sz w:val="20"/>
          <w:szCs w:val="20"/>
          <w:color w:val="auto"/>
        </w:rPr>
      </w:pPr>
      <w:r>
        <w:rPr>
          <w:rFonts w:ascii="Arial" w:cs="Arial" w:eastAsia="Arial" w:hAnsi="Arial"/>
          <w:sz w:val="17"/>
          <w:szCs w:val="17"/>
          <w:color w:val="auto"/>
        </w:rPr>
        <w:t>We or selling securityholders may offer shares of our Class 2 common stock and preferred stock, various series of debt securities and/or warrants to purchase any of such securities, either individually or in combination with other securities, from time to time under this prospectus, together with the applicable prospectus supplement and any related free writing prospectus, at prices and on terms to be determined by market conditions at the time of any offering. This prospectus provides you with a general description of the securities we or selling securityholders may offer. Each time we or selling securityholders offer a type or series of securities under this prospectus, we will provide a prospectus supplement that will describe the specific amounts, prices and other important terms of the securities, including, to the extent applicable:</w:t>
      </w:r>
    </w:p>
    <w:p>
      <w:pPr>
        <w:spacing w:after="0" w:line="16" w:lineRule="exact"/>
        <w:rPr>
          <w:sz w:val="20"/>
          <w:szCs w:val="20"/>
          <w:color w:val="auto"/>
        </w:rPr>
      </w:pPr>
    </w:p>
    <w:p>
      <w:pPr>
        <w:ind w:left="1020" w:hanging="355"/>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designation or classification;</w:t>
      </w:r>
    </w:p>
    <w:p>
      <w:pPr>
        <w:spacing w:after="0" w:line="63" w:lineRule="exact"/>
        <w:rPr>
          <w:rFonts w:ascii="Arial" w:cs="Arial" w:eastAsia="Arial" w:hAnsi="Arial"/>
          <w:sz w:val="18"/>
          <w:szCs w:val="18"/>
          <w:color w:val="auto"/>
        </w:rPr>
      </w:pPr>
    </w:p>
    <w:p>
      <w:pPr>
        <w:ind w:left="1020" w:hanging="355"/>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aggregate principal amount or aggregate offering price;</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171450</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8" w:name="page29"/>
    <w:bookmarkEnd w:id="28"/>
    <w:p>
      <w:pPr>
        <w:ind w:left="8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44515" cy="77793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9">
                      <a:extLst>
                        <a:ext uri="{28A0092B-C50C-407E-A947-70E740481C1C}"/>
                      </a:extLst>
                    </a:blip>
                    <a:srcRect/>
                    <a:stretch>
                      <a:fillRect/>
                    </a:stretch>
                  </pic:blipFill>
                  <pic:spPr bwMode="auto">
                    <a:xfrm>
                      <a:off x="0" y="0"/>
                      <a:ext cx="5644515" cy="777938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20" w:hanging="355"/>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maturity date, if applicable;</w:t>
      </w:r>
    </w:p>
    <w:p>
      <w:pPr>
        <w:spacing w:after="0" w:line="63" w:lineRule="exact"/>
        <w:rPr>
          <w:rFonts w:ascii="Arial" w:cs="Arial" w:eastAsia="Arial" w:hAnsi="Arial"/>
          <w:sz w:val="18"/>
          <w:szCs w:val="18"/>
          <w:color w:val="auto"/>
        </w:rPr>
      </w:pPr>
    </w:p>
    <w:p>
      <w:pPr>
        <w:ind w:left="1020" w:hanging="355"/>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original issue discount, if any;</w:t>
      </w:r>
    </w:p>
    <w:p>
      <w:pPr>
        <w:spacing w:after="0" w:line="63" w:lineRule="exact"/>
        <w:rPr>
          <w:rFonts w:ascii="Arial" w:cs="Arial" w:eastAsia="Arial" w:hAnsi="Arial"/>
          <w:sz w:val="18"/>
          <w:szCs w:val="18"/>
          <w:color w:val="auto"/>
        </w:rPr>
      </w:pPr>
    </w:p>
    <w:p>
      <w:pPr>
        <w:ind w:left="1020" w:hanging="355"/>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rates and times of payment of interest or dividends, if any;</w:t>
      </w:r>
    </w:p>
    <w:p>
      <w:pPr>
        <w:spacing w:after="0" w:line="63" w:lineRule="exact"/>
        <w:rPr>
          <w:rFonts w:ascii="Arial" w:cs="Arial" w:eastAsia="Arial" w:hAnsi="Arial"/>
          <w:sz w:val="18"/>
          <w:szCs w:val="18"/>
          <w:color w:val="auto"/>
        </w:rPr>
      </w:pPr>
    </w:p>
    <w:p>
      <w:pPr>
        <w:ind w:left="1020" w:hanging="355"/>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redemption, conversion, exercise, exchange or sinking fund terms, if any;</w:t>
      </w:r>
    </w:p>
    <w:p>
      <w:pPr>
        <w:spacing w:after="0" w:line="63" w:lineRule="exact"/>
        <w:rPr>
          <w:rFonts w:ascii="Arial" w:cs="Arial" w:eastAsia="Arial" w:hAnsi="Arial"/>
          <w:sz w:val="18"/>
          <w:szCs w:val="18"/>
          <w:color w:val="auto"/>
        </w:rPr>
      </w:pPr>
    </w:p>
    <w:p>
      <w:pPr>
        <w:ind w:left="1020" w:hanging="355"/>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ranking;</w:t>
      </w:r>
    </w:p>
    <w:p>
      <w:pPr>
        <w:spacing w:after="0" w:line="63" w:lineRule="exact"/>
        <w:rPr>
          <w:rFonts w:ascii="Arial" w:cs="Arial" w:eastAsia="Arial" w:hAnsi="Arial"/>
          <w:sz w:val="18"/>
          <w:szCs w:val="18"/>
          <w:color w:val="auto"/>
        </w:rPr>
      </w:pPr>
    </w:p>
    <w:p>
      <w:pPr>
        <w:ind w:left="1020" w:hanging="355"/>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restrictive covenants, if any;</w:t>
      </w:r>
    </w:p>
    <w:p>
      <w:pPr>
        <w:spacing w:after="0" w:line="63" w:lineRule="exact"/>
        <w:rPr>
          <w:rFonts w:ascii="Arial" w:cs="Arial" w:eastAsia="Arial" w:hAnsi="Arial"/>
          <w:sz w:val="18"/>
          <w:szCs w:val="18"/>
          <w:color w:val="auto"/>
        </w:rPr>
      </w:pPr>
    </w:p>
    <w:p>
      <w:pPr>
        <w:ind w:left="1020" w:hanging="355"/>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voting or other rights, if any;</w:t>
      </w:r>
    </w:p>
    <w:p>
      <w:pPr>
        <w:spacing w:after="0" w:line="63" w:lineRule="exact"/>
        <w:rPr>
          <w:rFonts w:ascii="Arial" w:cs="Arial" w:eastAsia="Arial" w:hAnsi="Arial"/>
          <w:sz w:val="18"/>
          <w:szCs w:val="18"/>
          <w:color w:val="auto"/>
        </w:rPr>
      </w:pPr>
    </w:p>
    <w:p>
      <w:pPr>
        <w:ind w:left="1020" w:right="359" w:hanging="355"/>
        <w:spacing w:after="0" w:line="263"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conversion or exchange prices or rates, if any, and, if applicable, any provisions for changes to or adjustments in the conversion or exchange prices or rates and in the securities or other property receivable upon conversion or exchange; and</w:t>
      </w:r>
    </w:p>
    <w:p>
      <w:pPr>
        <w:spacing w:after="0" w:line="21" w:lineRule="exact"/>
        <w:rPr>
          <w:rFonts w:ascii="Arial" w:cs="Arial" w:eastAsia="Arial" w:hAnsi="Arial"/>
          <w:sz w:val="18"/>
          <w:szCs w:val="18"/>
          <w:color w:val="auto"/>
        </w:rPr>
      </w:pPr>
    </w:p>
    <w:p>
      <w:pPr>
        <w:ind w:left="1020" w:hanging="355"/>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material or special U.S. federal income tax considerations, if any.</w:t>
      </w:r>
    </w:p>
    <w:p>
      <w:pPr>
        <w:spacing w:after="0" w:line="117" w:lineRule="exact"/>
        <w:rPr>
          <w:sz w:val="20"/>
          <w:szCs w:val="20"/>
          <w:color w:val="auto"/>
        </w:rPr>
      </w:pPr>
    </w:p>
    <w:p>
      <w:pPr>
        <w:ind w:left="300" w:right="399"/>
        <w:spacing w:after="0" w:line="263" w:lineRule="auto"/>
        <w:rPr>
          <w:sz w:val="20"/>
          <w:szCs w:val="20"/>
          <w:color w:val="auto"/>
        </w:rPr>
      </w:pPr>
      <w:r>
        <w:rPr>
          <w:rFonts w:ascii="Arial" w:cs="Arial" w:eastAsia="Arial" w:hAnsi="Arial"/>
          <w:sz w:val="18"/>
          <w:szCs w:val="18"/>
          <w:color w:val="auto"/>
        </w:rPr>
        <w:t>The applicable prospectus supplement and any related free writing prospectus that we may authorize to be provided to you may also add, update or change any of the information contained in this prospectus or in the documents we have incorporated by reference.</w:t>
      </w:r>
    </w:p>
    <w:p>
      <w:pPr>
        <w:spacing w:after="0" w:line="76" w:lineRule="exact"/>
        <w:rPr>
          <w:sz w:val="20"/>
          <w:szCs w:val="20"/>
          <w:color w:val="auto"/>
        </w:rPr>
      </w:pPr>
    </w:p>
    <w:p>
      <w:pPr>
        <w:ind w:left="300" w:right="519"/>
        <w:spacing w:after="0" w:line="263" w:lineRule="auto"/>
        <w:rPr>
          <w:sz w:val="20"/>
          <w:szCs w:val="20"/>
          <w:color w:val="auto"/>
        </w:rPr>
      </w:pPr>
      <w:r>
        <w:rPr>
          <w:rFonts w:ascii="Arial" w:cs="Arial" w:eastAsia="Arial" w:hAnsi="Arial"/>
          <w:sz w:val="18"/>
          <w:szCs w:val="18"/>
          <w:color w:val="auto"/>
        </w:rPr>
        <w:t>We or selling securityholders may sell the securities directly to investors or to or through agents, underwriters or dealers. If we or selling securityholders do offer securities to or through agents or underwriters, we will include in the applicable prospectus supplement:</w:t>
      </w:r>
    </w:p>
    <w:p>
      <w:pPr>
        <w:spacing w:after="0" w:line="22" w:lineRule="exact"/>
        <w:rPr>
          <w:sz w:val="20"/>
          <w:szCs w:val="20"/>
          <w:color w:val="auto"/>
        </w:rPr>
      </w:pPr>
    </w:p>
    <w:p>
      <w:pPr>
        <w:ind w:left="1020" w:hanging="355"/>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names of those agents or underwriters;</w:t>
      </w:r>
    </w:p>
    <w:p>
      <w:pPr>
        <w:spacing w:after="0" w:line="63" w:lineRule="exact"/>
        <w:rPr>
          <w:rFonts w:ascii="Arial" w:cs="Arial" w:eastAsia="Arial" w:hAnsi="Arial"/>
          <w:sz w:val="18"/>
          <w:szCs w:val="18"/>
          <w:color w:val="auto"/>
        </w:rPr>
      </w:pPr>
    </w:p>
    <w:p>
      <w:pPr>
        <w:ind w:left="1020" w:hanging="355"/>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applicable fees, discounts and commissions to be paid to them;</w:t>
      </w:r>
    </w:p>
    <w:p>
      <w:pPr>
        <w:spacing w:after="0" w:line="63" w:lineRule="exact"/>
        <w:rPr>
          <w:rFonts w:ascii="Arial" w:cs="Arial" w:eastAsia="Arial" w:hAnsi="Arial"/>
          <w:sz w:val="18"/>
          <w:szCs w:val="18"/>
          <w:color w:val="auto"/>
        </w:rPr>
      </w:pPr>
    </w:p>
    <w:p>
      <w:pPr>
        <w:ind w:left="1020" w:hanging="355"/>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details regarding over-allotment or other options, if any; and</w:t>
      </w:r>
    </w:p>
    <w:p>
      <w:pPr>
        <w:spacing w:after="0" w:line="63" w:lineRule="exact"/>
        <w:rPr>
          <w:rFonts w:ascii="Arial" w:cs="Arial" w:eastAsia="Arial" w:hAnsi="Arial"/>
          <w:sz w:val="18"/>
          <w:szCs w:val="18"/>
          <w:color w:val="auto"/>
        </w:rPr>
      </w:pPr>
    </w:p>
    <w:p>
      <w:pPr>
        <w:ind w:left="1020" w:hanging="355"/>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net proceeds to us, if any.</w:t>
      </w:r>
    </w:p>
    <w:p>
      <w:pPr>
        <w:spacing w:after="0" w:line="117" w:lineRule="exact"/>
        <w:rPr>
          <w:sz w:val="20"/>
          <w:szCs w:val="20"/>
          <w:color w:val="auto"/>
        </w:rPr>
      </w:pPr>
    </w:p>
    <w:p>
      <w:pPr>
        <w:ind w:left="300" w:right="299"/>
        <w:spacing w:after="0" w:line="286" w:lineRule="auto"/>
        <w:rPr>
          <w:sz w:val="20"/>
          <w:szCs w:val="20"/>
          <w:color w:val="auto"/>
        </w:rPr>
      </w:pPr>
      <w:r>
        <w:rPr>
          <w:rFonts w:ascii="Arial" w:cs="Arial" w:eastAsia="Arial" w:hAnsi="Arial"/>
          <w:sz w:val="16"/>
          <w:szCs w:val="16"/>
          <w:i w:val="1"/>
          <w:iCs w:val="1"/>
          <w:color w:val="auto"/>
        </w:rPr>
        <w:t>Class 2 Common Stock</w:t>
      </w:r>
      <w:r>
        <w:rPr>
          <w:rFonts w:ascii="Arial" w:cs="Arial" w:eastAsia="Arial" w:hAnsi="Arial"/>
          <w:sz w:val="16"/>
          <w:szCs w:val="16"/>
          <w:color w:val="auto"/>
        </w:rPr>
        <w:t>. We may issue shares of our Class 2 common stock from time to time. Holders of our Class 1</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and Class 2 common stock have identical rights, provided that, except as otherwise expressly provided in our amended and restated certificate of incorporation or required by applicable law, on any matter that is submitted to a vote of our stockholders, each holder of Class 1 common stock is entitled to 10 votes for each share of Class 1 common stock held by such holder and each holder of Class 2 common stock is entitled to one vote for each share of Class 2 common stock held by such holder. Subject to the preferences of any outstanding shares of preferred stock, the holders of Class 2 common stock are entitled to receive ratably any dividends our board of directors declares out of funds legally available for the payment of dividends. If we are liquidated, dissolved or wound up, the holders of Class 2 common stock are entitled to share pro rata all assets remaining after payment of liabilities and liquidation preferences of any outstanding shares of preferred stock. Holders of Class 2 common stock have no preemptive rights or rights to convert their Class 2 common stock into any other securities. There are no redemption or sinking fund provisions applicable to the Class 2 common stock. In this prospectus, we have summarized certain general features of the Class 2 common stock under the heading “Description of Capital Stock —Common Stock.” We urge you, however, to read the applicable prospectus supplement (and any related free writing prospectus that we may authorize to be provided to you) related to any Class 2 common stock being offered.</w:t>
      </w:r>
    </w:p>
    <w:p>
      <w:pPr>
        <w:spacing w:after="0" w:line="59" w:lineRule="exact"/>
        <w:rPr>
          <w:sz w:val="20"/>
          <w:szCs w:val="20"/>
          <w:color w:val="auto"/>
        </w:rPr>
      </w:pPr>
    </w:p>
    <w:p>
      <w:pPr>
        <w:ind w:left="300" w:right="299"/>
        <w:spacing w:after="0" w:line="268" w:lineRule="auto"/>
        <w:rPr>
          <w:sz w:val="20"/>
          <w:szCs w:val="20"/>
          <w:color w:val="auto"/>
        </w:rPr>
      </w:pPr>
      <w:r>
        <w:rPr>
          <w:rFonts w:ascii="Arial" w:cs="Arial" w:eastAsia="Arial" w:hAnsi="Arial"/>
          <w:sz w:val="17"/>
          <w:szCs w:val="17"/>
          <w:i w:val="1"/>
          <w:iCs w:val="1"/>
          <w:color w:val="auto"/>
        </w:rPr>
        <w:t xml:space="preserve">Preferred Stock. </w:t>
      </w:r>
      <w:r>
        <w:rPr>
          <w:rFonts w:ascii="Arial" w:cs="Arial" w:eastAsia="Arial" w:hAnsi="Arial"/>
          <w:sz w:val="17"/>
          <w:szCs w:val="17"/>
          <w:color w:val="auto"/>
        </w:rPr>
        <w:t>We may issue shares of our preferred stock from time to time, in one or more series. Under our</w:t>
      </w:r>
      <w:r>
        <w:rPr>
          <w:rFonts w:ascii="Arial" w:cs="Arial" w:eastAsia="Arial" w:hAnsi="Arial"/>
          <w:sz w:val="17"/>
          <w:szCs w:val="17"/>
          <w:i w:val="1"/>
          <w:iCs w:val="1"/>
          <w:color w:val="auto"/>
        </w:rPr>
        <w:t xml:space="preserve"> </w:t>
      </w:r>
      <w:r>
        <w:rPr>
          <w:rFonts w:ascii="Arial" w:cs="Arial" w:eastAsia="Arial" w:hAnsi="Arial"/>
          <w:sz w:val="17"/>
          <w:szCs w:val="17"/>
          <w:color w:val="auto"/>
        </w:rPr>
        <w:t>amended and restated certificate of incorporation, our board of directors has the authority to designate up to 10,000,000 shares of preferred stock in one or more series and determine or alter the designation, rights, preferences, privileges and restrictions granted to or imposed upon any series of preferred stock, any or all of which may be greater than the rights of the Class 2 common stock. If we sell any new series of preferred stock under this prospectus and any applicable prospectus supplement, our board of directors will determine the rights, preferences and privileges of the preferred stock being offered, as well as the qualifications, limitations or restrictions thereof, including dividend rights, conversion rights, voting rights, preemptive rights, terms of redemption or repurchase, liquidation preferences, sinking fund terms and the number of shares constituting any series or the designation of any series. Preferred stock may be convertible into our Class 2 common stock or other securities of ours, or may be exchangeable for debt securities. Conversion may be mandatory or at the holder’s option and would be at prescribed conversion rates. We will file as an exhibit to the registration statement of which this prospectus is a part, or will incorporate by reference from reports that we file with the</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 w:name="page30"/>
    <w:bookmarkEnd w:id="29"/>
    <w:p>
      <w:pPr>
        <w:ind w:left="8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44515" cy="80276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1">
                      <a:extLst>
                        <a:ext uri="{28A0092B-C50C-407E-A947-70E740481C1C}"/>
                      </a:extLst>
                    </a:blip>
                    <a:srcRect/>
                    <a:stretch>
                      <a:fillRect/>
                    </a:stretch>
                  </pic:blipFill>
                  <pic:spPr bwMode="auto">
                    <a:xfrm>
                      <a:off x="0" y="0"/>
                      <a:ext cx="5644515" cy="802767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82" w:lineRule="exact"/>
        <w:rPr>
          <w:sz w:val="20"/>
          <w:szCs w:val="20"/>
          <w:color w:val="auto"/>
        </w:rPr>
      </w:pPr>
    </w:p>
    <w:p>
      <w:pPr>
        <w:ind w:left="300" w:right="399"/>
        <w:spacing w:after="0" w:line="293" w:lineRule="auto"/>
        <w:rPr>
          <w:sz w:val="20"/>
          <w:szCs w:val="20"/>
          <w:color w:val="auto"/>
        </w:rPr>
      </w:pPr>
      <w:r>
        <w:rPr>
          <w:rFonts w:ascii="Arial" w:cs="Arial" w:eastAsia="Arial" w:hAnsi="Arial"/>
          <w:sz w:val="16"/>
          <w:szCs w:val="16"/>
          <w:color w:val="auto"/>
        </w:rPr>
        <w:t>SEC, the form of the certificate of designation that describes the terms of the series of preferred stock being offered before the issuance of the related series of preferred stock. In this prospectus, we have summarized certain general features of the preferred stock under the heading “Description of Capital Stock—Preferred Stock.” We urge you, however, to read the applicable prospectus supplement (and any related free writing prospectus that we may authorize to be provided to you) related to the series of preferred stock being offered, as well as the complete certificate of designation that contains the terms of the applicable series of preferred stock.</w:t>
      </w:r>
    </w:p>
    <w:p>
      <w:pPr>
        <w:spacing w:after="0" w:line="56" w:lineRule="exact"/>
        <w:rPr>
          <w:sz w:val="20"/>
          <w:szCs w:val="20"/>
          <w:color w:val="auto"/>
        </w:rPr>
      </w:pPr>
    </w:p>
    <w:p>
      <w:pPr>
        <w:ind w:left="300" w:right="339"/>
        <w:spacing w:after="0" w:line="257" w:lineRule="auto"/>
        <w:rPr>
          <w:sz w:val="20"/>
          <w:szCs w:val="20"/>
          <w:color w:val="auto"/>
        </w:rPr>
      </w:pPr>
      <w:r>
        <w:rPr>
          <w:rFonts w:ascii="Arial" w:cs="Arial" w:eastAsia="Arial" w:hAnsi="Arial"/>
          <w:sz w:val="18"/>
          <w:szCs w:val="18"/>
          <w:i w:val="1"/>
          <w:iCs w:val="1"/>
          <w:color w:val="auto"/>
        </w:rPr>
        <w:t xml:space="preserve">Debt Securities. </w:t>
      </w:r>
      <w:r>
        <w:rPr>
          <w:rFonts w:ascii="Arial" w:cs="Arial" w:eastAsia="Arial" w:hAnsi="Arial"/>
          <w:sz w:val="18"/>
          <w:szCs w:val="18"/>
          <w:color w:val="auto"/>
        </w:rPr>
        <w:t>We may issue debt securities from time to time, in one or more series, as either senior or</w:t>
      </w:r>
      <w:r>
        <w:rPr>
          <w:rFonts w:ascii="Arial" w:cs="Arial" w:eastAsia="Arial" w:hAnsi="Arial"/>
          <w:sz w:val="18"/>
          <w:szCs w:val="18"/>
          <w:i w:val="1"/>
          <w:iCs w:val="1"/>
          <w:color w:val="auto"/>
        </w:rPr>
        <w:t xml:space="preserve"> </w:t>
      </w:r>
      <w:r>
        <w:rPr>
          <w:rFonts w:ascii="Arial" w:cs="Arial" w:eastAsia="Arial" w:hAnsi="Arial"/>
          <w:sz w:val="18"/>
          <w:szCs w:val="18"/>
          <w:color w:val="auto"/>
        </w:rPr>
        <w:t>subordinated debt or as senior or subordinated convertible debt. Convertible or exchangeable debt securities will be convertible into or exchangeable for our Class 2 common stock or our other securities. Conversion or exchange may be mandatory or optional (at our option or the holders’ option) and would be at prescribed conversion or exchange prices.</w:t>
      </w:r>
    </w:p>
    <w:p>
      <w:pPr>
        <w:spacing w:after="0" w:line="80" w:lineRule="exact"/>
        <w:rPr>
          <w:sz w:val="20"/>
          <w:szCs w:val="20"/>
          <w:color w:val="auto"/>
        </w:rPr>
      </w:pPr>
    </w:p>
    <w:p>
      <w:pPr>
        <w:ind w:left="300" w:right="339"/>
        <w:spacing w:after="0" w:line="289" w:lineRule="auto"/>
        <w:rPr>
          <w:sz w:val="20"/>
          <w:szCs w:val="20"/>
          <w:color w:val="auto"/>
        </w:rPr>
      </w:pPr>
      <w:r>
        <w:rPr>
          <w:rFonts w:ascii="Arial" w:cs="Arial" w:eastAsia="Arial" w:hAnsi="Arial"/>
          <w:sz w:val="16"/>
          <w:szCs w:val="16"/>
          <w:color w:val="auto"/>
        </w:rPr>
        <w:t>The debt securities will be issued under an indenture that we will enter into with a national banking association or other eligible party, as trustee. In this prospectus, we have summarized certain general features of the debt securities under the heading “Description of Debt Securities.” We urge you, however, to read the applicable prospectus supplement (and any related free writing prospectus that we may authorize to be provided to you) related to the series of debt securities being offered, as well as the complete indenture and any supplemental indentures that contain the terms of the debt securities.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58" w:lineRule="exact"/>
        <w:rPr>
          <w:sz w:val="20"/>
          <w:szCs w:val="20"/>
          <w:color w:val="auto"/>
        </w:rPr>
      </w:pPr>
    </w:p>
    <w:p>
      <w:pPr>
        <w:ind w:left="300" w:right="299"/>
        <w:spacing w:after="0" w:line="287" w:lineRule="auto"/>
        <w:rPr>
          <w:sz w:val="20"/>
          <w:szCs w:val="20"/>
          <w:color w:val="auto"/>
        </w:rPr>
      </w:pPr>
      <w:r>
        <w:rPr>
          <w:rFonts w:ascii="Arial" w:cs="Arial" w:eastAsia="Arial" w:hAnsi="Arial"/>
          <w:sz w:val="16"/>
          <w:szCs w:val="16"/>
          <w:i w:val="1"/>
          <w:iCs w:val="1"/>
          <w:color w:val="auto"/>
        </w:rPr>
        <w:t xml:space="preserve">Warrants. </w:t>
      </w:r>
      <w:r>
        <w:rPr>
          <w:rFonts w:ascii="Arial" w:cs="Arial" w:eastAsia="Arial" w:hAnsi="Arial"/>
          <w:sz w:val="16"/>
          <w:szCs w:val="16"/>
          <w:color w:val="auto"/>
        </w:rPr>
        <w:t>We may issue warrants for the purchase of Class 2 common stock, preferred stock and/or debt securities in</w:t>
      </w:r>
      <w:r>
        <w:rPr>
          <w:rFonts w:ascii="Arial" w:cs="Arial" w:eastAsia="Arial" w:hAnsi="Arial"/>
          <w:sz w:val="16"/>
          <w:szCs w:val="16"/>
          <w:i w:val="1"/>
          <w:iCs w:val="1"/>
          <w:color w:val="auto"/>
        </w:rPr>
        <w:t xml:space="preserve"> </w:t>
      </w:r>
      <w:r>
        <w:rPr>
          <w:rFonts w:ascii="Arial" w:cs="Arial" w:eastAsia="Arial" w:hAnsi="Arial"/>
          <w:sz w:val="16"/>
          <w:szCs w:val="16"/>
          <w:color w:val="auto"/>
        </w:rPr>
        <w:t>one or more series. We may issue warrants independently or in combination with Class 2 common stock, preferred stock and/or debt securities offered by any prospectus supplement. In this prospectus, we have summarized certain general features of the warrants under the heading “Description of Warrants.” We urge you, however, to read the applicable prospectus supplement (and any related free writing prospectus that we may authorize to be provided to you) related to the particular series of warrants being offered, as well as the form of warrant and/or the warrant agreement and warrant certificate, as applicable, that contain the terms of the warrants. We have filed the forms of the warrant agreements and forms of warrant certificates containing the terms of the warrants that we may offer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contain the terms of the particular series of warrants we are offering, and any supplemental agreements, before the issuance of such warrants.</w:t>
      </w:r>
    </w:p>
    <w:p>
      <w:pPr>
        <w:spacing w:after="0" w:line="60" w:lineRule="exact"/>
        <w:rPr>
          <w:sz w:val="20"/>
          <w:szCs w:val="20"/>
          <w:color w:val="auto"/>
        </w:rPr>
      </w:pPr>
    </w:p>
    <w:p>
      <w:pPr>
        <w:ind w:left="300" w:right="399"/>
        <w:spacing w:after="0" w:line="263" w:lineRule="auto"/>
        <w:rPr>
          <w:sz w:val="20"/>
          <w:szCs w:val="20"/>
          <w:color w:val="auto"/>
        </w:rPr>
      </w:pPr>
      <w:r>
        <w:rPr>
          <w:rFonts w:ascii="Arial" w:cs="Arial" w:eastAsia="Arial" w:hAnsi="Arial"/>
          <w:sz w:val="18"/>
          <w:szCs w:val="18"/>
          <w:color w:val="auto"/>
        </w:rPr>
        <w:t>Warrants may be issued under a warrant agreement that we enter into with a warrant agent. We will indicate the name and address of the warrant agent, if any, in the applicable prospectus supplement relating to a particular series of warrants.</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Selling Securityholders</w:t>
      </w:r>
    </w:p>
    <w:p>
      <w:pPr>
        <w:spacing w:after="0" w:line="121" w:lineRule="exact"/>
        <w:rPr>
          <w:sz w:val="20"/>
          <w:szCs w:val="20"/>
          <w:color w:val="auto"/>
        </w:rPr>
      </w:pPr>
    </w:p>
    <w:p>
      <w:pPr>
        <w:jc w:val="both"/>
        <w:ind w:left="300" w:right="619"/>
        <w:spacing w:after="0" w:line="263" w:lineRule="auto"/>
        <w:rPr>
          <w:sz w:val="20"/>
          <w:szCs w:val="20"/>
          <w:color w:val="auto"/>
        </w:rPr>
      </w:pPr>
      <w:r>
        <w:rPr>
          <w:rFonts w:ascii="Arial" w:cs="Arial" w:eastAsia="Arial" w:hAnsi="Arial"/>
          <w:sz w:val="18"/>
          <w:szCs w:val="18"/>
          <w:color w:val="auto"/>
        </w:rPr>
        <w:t xml:space="preserve">Selling securityholders are persons or entities that, directly or indirectly, have acquired or will from time to time acquire from us, our securities. Information about selling securityholders, if any, will be set forth in a prospectus supplement. See “Selling Securityholders” on page </w:t>
      </w:r>
      <w:r>
        <w:rPr>
          <w:rFonts w:ascii="Arial" w:cs="Arial" w:eastAsia="Arial" w:hAnsi="Arial"/>
          <w:sz w:val="18"/>
          <w:szCs w:val="18"/>
          <w:u w:val="single" w:color="auto"/>
          <w:color w:val="0000EE"/>
        </w:rPr>
        <w:t>24</w:t>
      </w:r>
      <w:r>
        <w:rPr>
          <w:rFonts w:ascii="Arial" w:cs="Arial" w:eastAsia="Arial" w:hAnsi="Arial"/>
          <w:sz w:val="18"/>
          <w:szCs w:val="18"/>
          <w:color w:val="auto"/>
        </w:rPr>
        <w:t xml:space="preserve"> of this prospectus.</w:t>
      </w:r>
    </w:p>
    <w:p>
      <w:pPr>
        <w:spacing w:after="0" w:line="19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300" w:right="299"/>
        <w:spacing w:after="0" w:line="272" w:lineRule="auto"/>
        <w:rPr>
          <w:sz w:val="20"/>
          <w:szCs w:val="20"/>
          <w:color w:val="auto"/>
        </w:rPr>
      </w:pPr>
      <w:r>
        <w:rPr>
          <w:rFonts w:ascii="Arial" w:cs="Arial" w:eastAsia="Arial" w:hAnsi="Arial"/>
          <w:sz w:val="17"/>
          <w:szCs w:val="17"/>
          <w:color w:val="auto"/>
        </w:rPr>
        <w:t xml:space="preserve">Except as described in any applicable prospectus supplement or in any free writing prospectuses we have authorized for use in connection with a specific offering, we intend to use the net proceeds from the sale of the securities under this prospectus for general corporate purposes, which may include funding research and development and sales and marketing activities, increasing our working capital, acquisitions or investments in businesses, products or technologies that are complementary to our own, and capital expenditures. See “Use of Proceeds” on page </w:t>
      </w:r>
      <w:r>
        <w:rPr>
          <w:rFonts w:ascii="Arial" w:cs="Arial" w:eastAsia="Arial" w:hAnsi="Arial"/>
          <w:sz w:val="17"/>
          <w:szCs w:val="17"/>
          <w:u w:val="single" w:color="auto"/>
          <w:color w:val="0000EE"/>
        </w:rPr>
        <w:t>8</w:t>
      </w:r>
      <w:r>
        <w:rPr>
          <w:rFonts w:ascii="Arial" w:cs="Arial" w:eastAsia="Arial" w:hAnsi="Arial"/>
          <w:sz w:val="17"/>
          <w:szCs w:val="17"/>
          <w:color w:val="auto"/>
        </w:rPr>
        <w:t xml:space="preserve"> of this prospectus. Unless the applicable prospectus supplement provides otherwise, we will not receive any of the proceeds from the sale of our securities by selling securityholders.</w:t>
      </w:r>
    </w:p>
    <w:p>
      <w:pPr>
        <w:spacing w:after="0" w:line="18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Nasdaq Global Select Market Listing</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Class 2 common stock is listed on The Nasdaq Global Select Market under the symbol “TLRY.”</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162560</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0" w:name="page31"/>
    <w:bookmarkEnd w:id="30"/>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left="300" w:right="319"/>
        <w:spacing w:after="0" w:line="268" w:lineRule="auto"/>
        <w:rPr>
          <w:sz w:val="20"/>
          <w:szCs w:val="20"/>
          <w:color w:val="auto"/>
        </w:rPr>
      </w:pPr>
      <w:r>
        <w:rPr>
          <w:rFonts w:ascii="Arial" w:cs="Arial" w:eastAsia="Arial" w:hAnsi="Arial"/>
          <w:sz w:val="17"/>
          <w:szCs w:val="17"/>
          <w:color w:val="auto"/>
        </w:rPr>
        <w:t>Investing in our securities involves a high degree of risk. Before deciding whether to invest in our securities, you should consider carefully the risks and uncertainties described under the heading “Risk Factors” contained in the applicable prospectus supplement and any related free writing prospectus, and described under the section entitled “Risk Factors” contained in our most recent annual report on Form 10-K and in our most recent quarterly report on Form 10-Q, as well as any amendments thereto reflected in subsequent filings with the SEC, which are incorporated by reference into this prospectus in their entirety, together with other information in this prospectus, the documents incorporated by reference and any free writing prospectus that we may authorize for use in connection with a specific offering.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cash flow or prospects could be seriously harmed. This could cause the trading price of our securities to decline, resulting in a loss of all or part of your investment. Please also carefully read the section below entitled “Special Note Regarding Forward-Looking Statements.”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 w:name="page32"/>
    <w:bookmarkEnd w:id="31"/>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ind w:left="300" w:right="299"/>
        <w:spacing w:after="0" w:line="267" w:lineRule="auto"/>
        <w:rPr>
          <w:sz w:val="20"/>
          <w:szCs w:val="20"/>
          <w:color w:val="auto"/>
        </w:rPr>
      </w:pPr>
      <w:r>
        <w:rPr>
          <w:rFonts w:ascii="Arial" w:cs="Arial" w:eastAsia="Arial" w:hAnsi="Arial"/>
          <w:sz w:val="17"/>
          <w:szCs w:val="17"/>
          <w:color w:val="auto"/>
        </w:rPr>
        <w:t>Certain statements in this prospectus and any accompanying prospectus supplement, including the documents incorporated by reference herein and therein, constitute forward-looking information or forward-looking statements within the meaning of Section 27A of the Securities Act of 1933, as amended (the “Securities Act”), and Section 21E of the Securities Exchange Act of 1934, as amended (the “Exchange Act”), which are intended to be covered by the safe harbor created by such sections and other applicable laws. The forward-looking statements are expressly qualified by this cautionary statement. Forward-looking statements are provided for the purpose of presenting information about management’s current expectations and plans relating to the future, and readers are cautioned that such statements may not be appropriate for other purposes. These statements may include, without limitation, statements regarding our operations, business, financial condition, expected financial results, performance, prospects, opportunities, priorities, targets, goals, ongoing objectives, strategies and outlook. Forward-looking statements are typically identified by words such as “expect”, “intend”, “anticipate”, “believe”, “contemplate”, “foresee”, “forecast”, “future”, “could”, “enable”, “potential”, “estimate”, “project”, “goal”, “plan”, “seek”, “strive”, “will”, “would”, “may” and “should” and similar expressions, although not all forward-looking statements contain these identifying words. Forward-looking statements reflect current beliefs of management with respect to future events and are based on information currently available to management including based on reasonable assumptions, estimates, internal and external analysis and opinions of management concerning its experience, perception of trends, current conditions and expected developments as well as other factors that management believes to be relevant as at the date such statements are made. Forward-looking statements involve significant known and unknown risks and uncertainties. Many factors could cause actual results, performance or achievement to be materially different from any future forward-looking statements. Our estimates, beliefs and assumptions are inherently subject to significant business, economic, competitive and other uncertainties and contingencies regarding future events and as such, are subject to change. We can give no assurance that such estimates, beliefs and assumptions will prove to be correct.</w:t>
      </w:r>
    </w:p>
    <w:p>
      <w:pPr>
        <w:spacing w:after="0" w:line="74" w:lineRule="exact"/>
        <w:rPr>
          <w:sz w:val="20"/>
          <w:szCs w:val="20"/>
          <w:color w:val="auto"/>
        </w:rPr>
      </w:pPr>
    </w:p>
    <w:p>
      <w:pPr>
        <w:jc w:val="both"/>
        <w:ind w:left="300" w:right="439"/>
        <w:spacing w:after="0" w:line="311" w:lineRule="auto"/>
        <w:rPr>
          <w:sz w:val="20"/>
          <w:szCs w:val="20"/>
          <w:color w:val="auto"/>
        </w:rPr>
      </w:pPr>
      <w:r>
        <w:rPr>
          <w:rFonts w:ascii="Arial" w:cs="Arial" w:eastAsia="Arial" w:hAnsi="Arial"/>
          <w:sz w:val="16"/>
          <w:szCs w:val="16"/>
          <w:color w:val="auto"/>
        </w:rPr>
        <w:t>Any information or statements that are contained in this prospectus and any accompanying prospectus supplement, including the documents incorporated by reference herein and therein, that are not statements of historical fact may be deemed to be forward-looking statements, including, but not limited to, statements with regards to:</w:t>
      </w:r>
    </w:p>
    <w:p>
      <w:pPr>
        <w:spacing w:after="0" w:line="41" w:lineRule="exact"/>
        <w:rPr>
          <w:sz w:val="20"/>
          <w:szCs w:val="20"/>
          <w:color w:val="auto"/>
        </w:rPr>
      </w:pPr>
    </w:p>
    <w:p>
      <w:pPr>
        <w:ind w:left="1020" w:right="739" w:hanging="368"/>
        <w:spacing w:after="0" w:line="27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estimates of our financial information, including in respect of expected revenues, margins, cash flow, profitability, and production of cannabis;</w:t>
      </w:r>
    </w:p>
    <w:p>
      <w:pPr>
        <w:spacing w:after="0" w:line="62" w:lineRule="exact"/>
        <w:rPr>
          <w:rFonts w:ascii="Arial" w:cs="Arial" w:eastAsia="Arial" w:hAnsi="Arial"/>
          <w:sz w:val="18"/>
          <w:szCs w:val="18"/>
          <w:color w:val="auto"/>
        </w:rPr>
      </w:pPr>
    </w:p>
    <w:p>
      <w:pPr>
        <w:ind w:left="1020" w:right="899" w:hanging="368"/>
        <w:spacing w:after="0" w:line="308" w:lineRule="auto"/>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estimates of future costs applicable to sales, future capital expenditures, future cost reductions, and projected synergies including pre-tax synergies, cost savings and efficiencies;</w:t>
      </w:r>
    </w:p>
    <w:p>
      <w:pPr>
        <w:spacing w:after="0" w:line="38" w:lineRule="exact"/>
        <w:rPr>
          <w:rFonts w:ascii="Arial" w:cs="Arial" w:eastAsia="Arial" w:hAnsi="Arial"/>
          <w:sz w:val="17"/>
          <w:szCs w:val="17"/>
          <w:color w:val="auto"/>
        </w:rPr>
      </w:pPr>
    </w:p>
    <w:p>
      <w:pPr>
        <w:ind w:left="1020" w:right="639" w:hanging="368"/>
        <w:spacing w:after="0" w:line="27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expectation to have scalable medical and adult-use cannabis platforms to strengthen the leadership position in Canada, internationally, and eventually in the United States;</w:t>
      </w:r>
    </w:p>
    <w:p>
      <w:pPr>
        <w:spacing w:after="0" w:line="62" w:lineRule="exact"/>
        <w:rPr>
          <w:rFonts w:ascii="Arial" w:cs="Arial" w:eastAsia="Arial" w:hAnsi="Arial"/>
          <w:sz w:val="18"/>
          <w:szCs w:val="18"/>
          <w:color w:val="auto"/>
        </w:rPr>
      </w:pPr>
    </w:p>
    <w:p>
      <w:pPr>
        <w:ind w:left="1020" w:right="999" w:hanging="368"/>
        <w:spacing w:after="0" w:line="27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us being well positioned in the European cannabis markets and our ability to leverage our current European platforms;</w:t>
      </w:r>
    </w:p>
    <w:p>
      <w:pPr>
        <w:spacing w:after="0" w:line="62" w:lineRule="exact"/>
        <w:rPr>
          <w:rFonts w:ascii="Arial" w:cs="Arial" w:eastAsia="Arial" w:hAnsi="Arial"/>
          <w:sz w:val="18"/>
          <w:szCs w:val="18"/>
          <w:color w:val="auto"/>
        </w:rPr>
      </w:pPr>
    </w:p>
    <w:p>
      <w:pPr>
        <w:ind w:left="1020" w:hanging="368"/>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strategic and financial benefits in connection with the Arrangement;</w:t>
      </w:r>
    </w:p>
    <w:p>
      <w:pPr>
        <w:spacing w:after="0" w:line="117" w:lineRule="exact"/>
        <w:rPr>
          <w:rFonts w:ascii="Arial" w:cs="Arial" w:eastAsia="Arial" w:hAnsi="Arial"/>
          <w:sz w:val="18"/>
          <w:szCs w:val="18"/>
          <w:color w:val="auto"/>
        </w:rPr>
      </w:pPr>
    </w:p>
    <w:p>
      <w:pPr>
        <w:ind w:left="1020" w:right="639" w:hanging="368"/>
        <w:spacing w:after="0" w:line="27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legalization of cannabis in the United States and us being well positioned to compete in the United States market;</w:t>
      </w:r>
    </w:p>
    <w:p>
      <w:pPr>
        <w:spacing w:after="0" w:line="62" w:lineRule="exact"/>
        <w:rPr>
          <w:rFonts w:ascii="Arial" w:cs="Arial" w:eastAsia="Arial" w:hAnsi="Arial"/>
          <w:sz w:val="18"/>
          <w:szCs w:val="18"/>
          <w:color w:val="auto"/>
        </w:rPr>
      </w:pPr>
    </w:p>
    <w:p>
      <w:pPr>
        <w:ind w:left="1020" w:right="379" w:hanging="368"/>
        <w:spacing w:after="0" w:line="27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become the world’s leading cannabis-focused consumer branded company with $4 billion of revenue by 2024;</w:t>
      </w:r>
    </w:p>
    <w:p>
      <w:pPr>
        <w:spacing w:after="0" w:line="62" w:lineRule="exact"/>
        <w:rPr>
          <w:rFonts w:ascii="Arial" w:cs="Arial" w:eastAsia="Arial" w:hAnsi="Arial"/>
          <w:sz w:val="18"/>
          <w:szCs w:val="18"/>
          <w:color w:val="auto"/>
        </w:rPr>
      </w:pPr>
    </w:p>
    <w:p>
      <w:pPr>
        <w:ind w:left="1020" w:hanging="368"/>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projected growth in our market share and growth in the European Union market; and</w:t>
      </w:r>
    </w:p>
    <w:p>
      <w:pPr>
        <w:spacing w:after="0" w:line="117" w:lineRule="exact"/>
        <w:rPr>
          <w:rFonts w:ascii="Arial" w:cs="Arial" w:eastAsia="Arial" w:hAnsi="Arial"/>
          <w:sz w:val="18"/>
          <w:szCs w:val="18"/>
          <w:color w:val="auto"/>
        </w:rPr>
      </w:pPr>
    </w:p>
    <w:p>
      <w:pPr>
        <w:ind w:left="1020" w:right="459" w:hanging="368"/>
        <w:spacing w:after="0" w:line="27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expectation to offer a diversified and branded product offering and distribution footprint, world-class cultivation, processing and manufacturing facilities.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 w:name="page33"/>
    <w:bookmarkEnd w:id="32"/>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379"/>
        <w:spacing w:after="0" w:line="301" w:lineRule="auto"/>
        <w:rPr>
          <w:sz w:val="20"/>
          <w:szCs w:val="20"/>
          <w:color w:val="auto"/>
        </w:rPr>
      </w:pPr>
      <w:r>
        <w:rPr>
          <w:rFonts w:ascii="Arial" w:cs="Arial" w:eastAsia="Arial" w:hAnsi="Arial"/>
          <w:sz w:val="16"/>
          <w:szCs w:val="16"/>
          <w:color w:val="auto"/>
        </w:rPr>
        <w:t>The forward-looking statements contained in this prospectus and any accompanying prospectus supplement, including the documents incorporated by reference herein and therein, are subject to inherent risks and uncertainties and other factors which could cause actual results to differ materially from those anticipated by the forward-looking statements. The factors which could cause results to differ from current expectations include, but are not limited to:</w:t>
      </w:r>
    </w:p>
    <w:p>
      <w:pPr>
        <w:spacing w:after="0" w:line="49" w:lineRule="exact"/>
        <w:rPr>
          <w:sz w:val="20"/>
          <w:szCs w:val="20"/>
          <w:color w:val="auto"/>
        </w:rPr>
      </w:pPr>
    </w:p>
    <w:p>
      <w:pPr>
        <w:ind w:left="1020" w:right="559" w:hanging="368"/>
        <w:spacing w:after="0" w:line="259"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recently closed on an investment and certain transactions with HEXO Corp. (“HEXO”) and we face uncertainty with respect to our ability to realize a return on our investment and achieve expected production efficiencies and cost savings in connection with the commercial transactions with HEXO as well as the MedMen investment;</w:t>
      </w:r>
    </w:p>
    <w:p>
      <w:pPr>
        <w:spacing w:after="0" w:line="78" w:lineRule="exact"/>
        <w:rPr>
          <w:rFonts w:ascii="Arial" w:cs="Arial" w:eastAsia="Arial" w:hAnsi="Arial"/>
          <w:sz w:val="18"/>
          <w:szCs w:val="18"/>
          <w:color w:val="auto"/>
        </w:rPr>
      </w:pPr>
    </w:p>
    <w:p>
      <w:pPr>
        <w:ind w:left="1020" w:right="739" w:hanging="368"/>
        <w:spacing w:after="0" w:line="27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business is dependent upon regulatory approvals and licenses, ongoing compliance and reporting obligations, and timely renewals;</w:t>
      </w:r>
    </w:p>
    <w:p>
      <w:pPr>
        <w:spacing w:after="0" w:line="62" w:lineRule="exact"/>
        <w:rPr>
          <w:rFonts w:ascii="Arial" w:cs="Arial" w:eastAsia="Arial" w:hAnsi="Arial"/>
          <w:sz w:val="18"/>
          <w:szCs w:val="18"/>
          <w:color w:val="auto"/>
        </w:rPr>
      </w:pPr>
    </w:p>
    <w:p>
      <w:pPr>
        <w:ind w:left="1020" w:right="699" w:hanging="368"/>
        <w:spacing w:after="0" w:line="263"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government regulation is evolving, and unfavorable changes or lack of commercial legalization could impact our ability to carry on our business as currently conducted and the potential expansion of our business;</w:t>
      </w:r>
    </w:p>
    <w:p>
      <w:pPr>
        <w:spacing w:after="0" w:line="75" w:lineRule="exact"/>
        <w:rPr>
          <w:rFonts w:ascii="Arial" w:cs="Arial" w:eastAsia="Arial" w:hAnsi="Arial"/>
          <w:sz w:val="18"/>
          <w:szCs w:val="18"/>
          <w:color w:val="auto"/>
        </w:rPr>
      </w:pPr>
    </w:p>
    <w:p>
      <w:pPr>
        <w:ind w:left="1020" w:right="419" w:hanging="368"/>
        <w:spacing w:after="0" w:line="27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production and processing facilities are integral to our business and adverse changes or developments affecting our facilities may have an adverse impact on our business;</w:t>
      </w:r>
    </w:p>
    <w:p>
      <w:pPr>
        <w:spacing w:after="0" w:line="62" w:lineRule="exact"/>
        <w:rPr>
          <w:rFonts w:ascii="Arial" w:cs="Arial" w:eastAsia="Arial" w:hAnsi="Arial"/>
          <w:sz w:val="18"/>
          <w:szCs w:val="18"/>
          <w:color w:val="auto"/>
        </w:rPr>
      </w:pPr>
    </w:p>
    <w:p>
      <w:pPr>
        <w:ind w:left="1020" w:hanging="368"/>
        <w:spacing w:after="0"/>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face intense competition, and anticipate competition will increase, which could hurt our business;</w:t>
      </w:r>
    </w:p>
    <w:p>
      <w:pPr>
        <w:spacing w:after="0" w:line="128" w:lineRule="exact"/>
        <w:rPr>
          <w:rFonts w:ascii="Arial" w:cs="Arial" w:eastAsia="Arial" w:hAnsi="Arial"/>
          <w:sz w:val="17"/>
          <w:szCs w:val="17"/>
          <w:color w:val="auto"/>
        </w:rPr>
      </w:pPr>
    </w:p>
    <w:p>
      <w:pPr>
        <w:ind w:left="1020" w:hanging="368"/>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regulations constrain our ability to market and distribute our products in Canada;</w:t>
      </w:r>
    </w:p>
    <w:p>
      <w:pPr>
        <w:spacing w:after="0" w:line="117" w:lineRule="exact"/>
        <w:rPr>
          <w:rFonts w:ascii="Arial" w:cs="Arial" w:eastAsia="Arial" w:hAnsi="Arial"/>
          <w:sz w:val="18"/>
          <w:szCs w:val="18"/>
          <w:color w:val="auto"/>
        </w:rPr>
      </w:pPr>
    </w:p>
    <w:p>
      <w:pPr>
        <w:ind w:left="1020" w:right="799" w:hanging="368"/>
        <w:spacing w:after="0" w:line="342" w:lineRule="auto"/>
        <w:tabs>
          <w:tab w:leader="none" w:pos="10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United States regulations relating to hemp-derived CBD products are new and rapidly evolving, and changes may not develop in the timeframe or manner most favorable to our business objectives;</w:t>
      </w:r>
    </w:p>
    <w:p>
      <w:pPr>
        <w:spacing w:after="0" w:line="15" w:lineRule="exact"/>
        <w:rPr>
          <w:rFonts w:ascii="Arial" w:cs="Arial" w:eastAsia="Arial" w:hAnsi="Arial"/>
          <w:sz w:val="16"/>
          <w:szCs w:val="16"/>
          <w:color w:val="auto"/>
        </w:rPr>
      </w:pPr>
    </w:p>
    <w:p>
      <w:pPr>
        <w:ind w:left="1020" w:right="299" w:hanging="368"/>
        <w:spacing w:after="0" w:line="27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consumer preferences or public attitudes about alcohol could decrease demand for our beverage alcohol products;</w:t>
      </w:r>
    </w:p>
    <w:p>
      <w:pPr>
        <w:spacing w:after="0" w:line="62" w:lineRule="exact"/>
        <w:rPr>
          <w:rFonts w:ascii="Arial" w:cs="Arial" w:eastAsia="Arial" w:hAnsi="Arial"/>
          <w:sz w:val="18"/>
          <w:szCs w:val="18"/>
          <w:color w:val="auto"/>
        </w:rPr>
      </w:pPr>
    </w:p>
    <w:p>
      <w:pPr>
        <w:jc w:val="both"/>
        <w:ind w:left="1020" w:right="519" w:hanging="368"/>
        <w:spacing w:after="0" w:line="263"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SW Brewing Company, LLC and Double Diamond Distillery LLC (d/b/a Breckenridge Distillery) each face substantial competition in the beer industry and the broader market for alcoholic beverage products which could impact our business and financial results;</w:t>
      </w:r>
    </w:p>
    <w:p>
      <w:pPr>
        <w:spacing w:after="0" w:line="75" w:lineRule="exact"/>
        <w:rPr>
          <w:rFonts w:ascii="Arial" w:cs="Arial" w:eastAsia="Arial" w:hAnsi="Arial"/>
          <w:sz w:val="18"/>
          <w:szCs w:val="18"/>
          <w:color w:val="auto"/>
        </w:rPr>
      </w:pPr>
    </w:p>
    <w:p>
      <w:pPr>
        <w:ind w:left="1020" w:right="859" w:hanging="368"/>
        <w:spacing w:after="0" w:line="27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have a limited operating history and a history of net losses, and we may not achieve or maintain profitability in the future;</w:t>
      </w:r>
    </w:p>
    <w:p>
      <w:pPr>
        <w:spacing w:after="0" w:line="62" w:lineRule="exact"/>
        <w:rPr>
          <w:rFonts w:ascii="Arial" w:cs="Arial" w:eastAsia="Arial" w:hAnsi="Arial"/>
          <w:sz w:val="18"/>
          <w:szCs w:val="18"/>
          <w:color w:val="auto"/>
        </w:rPr>
      </w:pPr>
    </w:p>
    <w:p>
      <w:pPr>
        <w:ind w:left="1020" w:right="499" w:hanging="368"/>
        <w:spacing w:after="0" w:line="27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are subject to litigation, arbitration and demands, which could result in significant liability and costs, and impact our resources and reputation;</w:t>
      </w:r>
    </w:p>
    <w:p>
      <w:pPr>
        <w:spacing w:after="0" w:line="62" w:lineRule="exact"/>
        <w:rPr>
          <w:rFonts w:ascii="Arial" w:cs="Arial" w:eastAsia="Arial" w:hAnsi="Arial"/>
          <w:sz w:val="18"/>
          <w:szCs w:val="18"/>
          <w:color w:val="auto"/>
        </w:rPr>
      </w:pPr>
    </w:p>
    <w:p>
      <w:pPr>
        <w:ind w:left="1020" w:right="379" w:hanging="368"/>
        <w:spacing w:after="0" w:line="27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strategic alliances and other third-party business relationships may not achieve the intended beneficial impact and expose us to risks;</w:t>
      </w:r>
    </w:p>
    <w:p>
      <w:pPr>
        <w:spacing w:after="0" w:line="62" w:lineRule="exact"/>
        <w:rPr>
          <w:rFonts w:ascii="Arial" w:cs="Arial" w:eastAsia="Arial" w:hAnsi="Arial"/>
          <w:sz w:val="18"/>
          <w:szCs w:val="18"/>
          <w:color w:val="auto"/>
        </w:rPr>
      </w:pPr>
    </w:p>
    <w:p>
      <w:pPr>
        <w:ind w:left="1020" w:right="559" w:hanging="368"/>
        <w:spacing w:after="0" w:line="308" w:lineRule="auto"/>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may not be able to successfully identify and execute future acquisitions, dispositions or other equity transactions or to successfully manage the impacts of such transactions on our operations;</w:t>
      </w:r>
    </w:p>
    <w:p>
      <w:pPr>
        <w:spacing w:after="0" w:line="38" w:lineRule="exact"/>
        <w:rPr>
          <w:rFonts w:ascii="Arial" w:cs="Arial" w:eastAsia="Arial" w:hAnsi="Arial"/>
          <w:sz w:val="17"/>
          <w:szCs w:val="17"/>
          <w:color w:val="auto"/>
        </w:rPr>
      </w:pPr>
    </w:p>
    <w:p>
      <w:pPr>
        <w:ind w:left="1020" w:hanging="368"/>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are subject to risks inherent in an agricultural business, including the risk of crop failure;</w:t>
      </w:r>
    </w:p>
    <w:p>
      <w:pPr>
        <w:spacing w:after="0" w:line="117" w:lineRule="exact"/>
        <w:rPr>
          <w:rFonts w:ascii="Arial" w:cs="Arial" w:eastAsia="Arial" w:hAnsi="Arial"/>
          <w:sz w:val="18"/>
          <w:szCs w:val="18"/>
          <w:color w:val="auto"/>
        </w:rPr>
      </w:pPr>
    </w:p>
    <w:p>
      <w:pPr>
        <w:ind w:left="1020" w:right="419" w:hanging="368"/>
        <w:spacing w:after="0" w:line="263"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depend on significant customers for a substantial portion of our revenue. If we fail to retain or expand our customer relationships or significant customers reduce their purchases, our revenue could decline significantly;</w:t>
      </w:r>
    </w:p>
    <w:p>
      <w:pPr>
        <w:spacing w:after="0" w:line="75" w:lineRule="exact"/>
        <w:rPr>
          <w:rFonts w:ascii="Arial" w:cs="Arial" w:eastAsia="Arial" w:hAnsi="Arial"/>
          <w:sz w:val="18"/>
          <w:szCs w:val="18"/>
          <w:color w:val="auto"/>
        </w:rPr>
      </w:pPr>
    </w:p>
    <w:p>
      <w:pPr>
        <w:ind w:left="1020" w:right="1099" w:hanging="368"/>
        <w:spacing w:after="0" w:line="27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products may be subject to recalls for a variety of reasons, which could require us to expend significant management and capital resources;</w:t>
      </w:r>
    </w:p>
    <w:p>
      <w:pPr>
        <w:spacing w:after="0" w:line="62" w:lineRule="exact"/>
        <w:rPr>
          <w:rFonts w:ascii="Arial" w:cs="Arial" w:eastAsia="Arial" w:hAnsi="Arial"/>
          <w:sz w:val="18"/>
          <w:szCs w:val="18"/>
          <w:color w:val="auto"/>
        </w:rPr>
      </w:pPr>
    </w:p>
    <w:p>
      <w:pPr>
        <w:ind w:left="1020" w:right="879" w:hanging="368"/>
        <w:spacing w:after="0" w:line="27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significant interruptions in our access to certain supply chains for key inputs such as raw materials, supplies, electricity, water and other utilities may impair our operations;</w:t>
      </w:r>
    </w:p>
    <w:p>
      <w:pPr>
        <w:spacing w:after="0" w:line="62" w:lineRule="exact"/>
        <w:rPr>
          <w:rFonts w:ascii="Arial" w:cs="Arial" w:eastAsia="Arial" w:hAnsi="Arial"/>
          <w:sz w:val="18"/>
          <w:szCs w:val="18"/>
          <w:color w:val="auto"/>
        </w:rPr>
      </w:pPr>
    </w:p>
    <w:p>
      <w:pPr>
        <w:ind w:left="1020" w:right="879" w:hanging="368"/>
        <w:spacing w:after="0" w:line="27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management may not be able to successfully establish and maintain effective internal controls over financial reporting;</w:t>
      </w:r>
    </w:p>
    <w:p>
      <w:pPr>
        <w:spacing w:after="0" w:line="62" w:lineRule="exact"/>
        <w:rPr>
          <w:rFonts w:ascii="Arial" w:cs="Arial" w:eastAsia="Arial" w:hAnsi="Arial"/>
          <w:sz w:val="18"/>
          <w:szCs w:val="18"/>
          <w:color w:val="auto"/>
        </w:rPr>
      </w:pPr>
    </w:p>
    <w:p>
      <w:pPr>
        <w:ind w:left="1020" w:right="479" w:hanging="368"/>
        <w:spacing w:after="0" w:line="27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price of our common stock in public markets has experienced and may continue to experience severe volatility and fluctuations;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 w:name="page34"/>
    <w:bookmarkEnd w:id="33"/>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1020" w:right="479" w:hanging="368"/>
        <w:spacing w:after="0" w:line="277"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volatility of our stock and the stockholder base may hinder or prevent us from engaging in beneficial corporate initiatives;</w:t>
      </w:r>
    </w:p>
    <w:p>
      <w:pPr>
        <w:spacing w:after="0" w:line="62" w:lineRule="exact"/>
        <w:rPr>
          <w:rFonts w:ascii="Arial" w:cs="Arial" w:eastAsia="Arial" w:hAnsi="Arial"/>
          <w:sz w:val="18"/>
          <w:szCs w:val="18"/>
          <w:color w:val="auto"/>
        </w:rPr>
      </w:pPr>
    </w:p>
    <w:p>
      <w:pPr>
        <w:ind w:left="1020" w:right="719" w:hanging="368"/>
        <w:spacing w:after="0" w:line="263"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terms of our outstanding warrants may limit our ability to raise additional equity capital or pursue acquisitions, which may impact funding of our ongoing operations and cause significant dilution to existing stockholders;</w:t>
      </w:r>
    </w:p>
    <w:p>
      <w:pPr>
        <w:spacing w:after="0" w:line="75" w:lineRule="exact"/>
        <w:rPr>
          <w:rFonts w:ascii="Arial" w:cs="Arial" w:eastAsia="Arial" w:hAnsi="Arial"/>
          <w:sz w:val="18"/>
          <w:szCs w:val="18"/>
          <w:color w:val="auto"/>
        </w:rPr>
      </w:pPr>
    </w:p>
    <w:p>
      <w:pPr>
        <w:ind w:left="1020" w:right="439" w:hanging="368"/>
        <w:spacing w:after="0" w:line="308" w:lineRule="auto"/>
        <w:tabs>
          <w:tab w:leader="none" w:pos="10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we may not have the ability to raise the funds necessary to settle conversions of the convertible securities in cash or to repurchase the convertible securities upon a fundamental change; and</w:t>
      </w:r>
    </w:p>
    <w:p>
      <w:pPr>
        <w:spacing w:after="0" w:line="38" w:lineRule="exact"/>
        <w:rPr>
          <w:rFonts w:ascii="Arial" w:cs="Arial" w:eastAsia="Arial" w:hAnsi="Arial"/>
          <w:sz w:val="17"/>
          <w:szCs w:val="17"/>
          <w:color w:val="auto"/>
        </w:rPr>
      </w:pPr>
    </w:p>
    <w:p>
      <w:pPr>
        <w:ind w:left="1020" w:hanging="368"/>
        <w:spacing w:after="0"/>
        <w:tabs>
          <w:tab w:leader="none" w:pos="10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we are subject to other risks generally applicable to our industry and the conduct of our business.</w:t>
      </w:r>
    </w:p>
    <w:p>
      <w:pPr>
        <w:spacing w:after="0" w:line="129" w:lineRule="exact"/>
        <w:rPr>
          <w:sz w:val="20"/>
          <w:szCs w:val="20"/>
          <w:color w:val="auto"/>
        </w:rPr>
      </w:pPr>
    </w:p>
    <w:p>
      <w:pPr>
        <w:ind w:left="300" w:right="319"/>
        <w:spacing w:after="0" w:line="263" w:lineRule="auto"/>
        <w:rPr>
          <w:sz w:val="20"/>
          <w:szCs w:val="20"/>
          <w:color w:val="auto"/>
        </w:rPr>
      </w:pPr>
      <w:r>
        <w:rPr>
          <w:rFonts w:ascii="Arial" w:cs="Arial" w:eastAsia="Arial" w:hAnsi="Arial"/>
          <w:sz w:val="18"/>
          <w:szCs w:val="18"/>
          <w:color w:val="auto"/>
        </w:rPr>
        <w:t>Readers are cautioned that the foregoing list of factors is not exhaustive. Other risks and uncertainties not presently known to us or that we presently believe are not material could also cause actual results or events to differ materially from those expressed in the forward-looking statements contained herein.</w:t>
      </w:r>
    </w:p>
    <w:p>
      <w:pPr>
        <w:spacing w:after="0" w:line="76" w:lineRule="exact"/>
        <w:rPr>
          <w:sz w:val="20"/>
          <w:szCs w:val="20"/>
          <w:color w:val="auto"/>
        </w:rPr>
      </w:pPr>
    </w:p>
    <w:p>
      <w:pPr>
        <w:ind w:left="300" w:right="379"/>
        <w:spacing w:after="0" w:line="255" w:lineRule="auto"/>
        <w:rPr>
          <w:sz w:val="20"/>
          <w:szCs w:val="20"/>
          <w:color w:val="auto"/>
        </w:rPr>
      </w:pPr>
      <w:r>
        <w:rPr>
          <w:rFonts w:ascii="Arial" w:cs="Arial" w:eastAsia="Arial" w:hAnsi="Arial"/>
          <w:sz w:val="18"/>
          <w:szCs w:val="18"/>
          <w:color w:val="auto"/>
        </w:rPr>
        <w:t>Additional information on these and other factors that could affect our operations or financial results are included in reports filed by us with applicable securities regulatory authorities and may be accessed through EDGAR (www.sec.gov). These risks and other factors are also discussed in more detail in the section entitled “Risk Factors” contained in our most recent Annual Report on Form 10-K, as well as any amendments thereto reflected in subsequent filings with the SEC and in our other filings that are incorporated by reference into this prospectus and any accompanying prospectus supplement.</w:t>
      </w:r>
    </w:p>
    <w:p>
      <w:pPr>
        <w:spacing w:after="0" w:line="84" w:lineRule="exact"/>
        <w:rPr>
          <w:sz w:val="20"/>
          <w:szCs w:val="20"/>
          <w:color w:val="auto"/>
        </w:rPr>
      </w:pPr>
    </w:p>
    <w:p>
      <w:pPr>
        <w:ind w:left="300" w:right="319"/>
        <w:spacing w:after="0" w:line="286" w:lineRule="auto"/>
        <w:rPr>
          <w:sz w:val="20"/>
          <w:szCs w:val="20"/>
          <w:color w:val="auto"/>
        </w:rPr>
      </w:pPr>
      <w:r>
        <w:rPr>
          <w:rFonts w:ascii="Arial" w:cs="Arial" w:eastAsia="Arial" w:hAnsi="Arial"/>
          <w:sz w:val="16"/>
          <w:szCs w:val="16"/>
          <w:color w:val="auto"/>
        </w:rPr>
        <w:t>The forward-looking statements contained in this prospectus and any accompanying prospectus supplement, including the documents incorporated by reference herein and therein, are expressly qualified in their entirety by this cautionary statement. We cannot guarantee that the results or events expressed or implied in any forward-looking statement and information will materialize and accordingly, readers are cautioned not to place undue reliance on these forward-looking statements, which reflect our expectations only as of the date of the document containing the applicable statement. We disclaim any obligation to update or revise any forward-looking statements, whether as a result of new information, future events or otherwise, except as required by law. Thus, you should not assume that our silence over time means that actual events are bearing out as expressed or implied in such forward-looking statements. You should read this prospectus and any accompany prospectus supplement, together with the documents we have filed with the SEC that are incorporated by reference and any free writing prospectus we have authorized for use in connection with a specific offering completely and with the understanding that our actual future results may be materially different from what we expect. We qualify all of the forward-looking statements in the foregoing documents by these cautionary statements.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 w:name="page35"/>
    <w:bookmarkEnd w:id="34"/>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300" w:right="359"/>
        <w:spacing w:after="0" w:line="254" w:lineRule="auto"/>
        <w:rPr>
          <w:sz w:val="20"/>
          <w:szCs w:val="20"/>
          <w:color w:val="auto"/>
        </w:rPr>
      </w:pPr>
      <w:r>
        <w:rPr>
          <w:rFonts w:ascii="Arial" w:cs="Arial" w:eastAsia="Arial" w:hAnsi="Arial"/>
          <w:sz w:val="18"/>
          <w:szCs w:val="18"/>
          <w:color w:val="auto"/>
        </w:rPr>
        <w:t>Except as described in any applicable prospectus supplement or in any free writing prospectuses we have authorized for use in connection with a specific offering, we intend to use the net proceeds from the sale of the securities under this prospectus for general corporate purposes, which may include funding research and development and sales and marketing activities, increasing our working capital, acquisitions or investments in businesses, products or technologies that are complementary to our own, and capital expenditures. We will set forth in the applicable prospectus supplement our intended use for the net proceeds received from the sale of any securities. Pending the use of the net proceeds, we intend to invest the net proceeds in short-term, investment-grade, interest-bearing securities.</w:t>
      </w:r>
    </w:p>
    <w:p>
      <w:pPr>
        <w:spacing w:after="0" w:line="84" w:lineRule="exact"/>
        <w:rPr>
          <w:sz w:val="20"/>
          <w:szCs w:val="20"/>
          <w:color w:val="auto"/>
        </w:rPr>
      </w:pPr>
    </w:p>
    <w:p>
      <w:pPr>
        <w:ind w:left="300" w:right="519"/>
        <w:spacing w:after="0" w:line="277" w:lineRule="auto"/>
        <w:rPr>
          <w:sz w:val="20"/>
          <w:szCs w:val="20"/>
          <w:color w:val="auto"/>
        </w:rPr>
      </w:pPr>
      <w:r>
        <w:rPr>
          <w:rFonts w:ascii="Arial" w:cs="Arial" w:eastAsia="Arial" w:hAnsi="Arial"/>
          <w:sz w:val="18"/>
          <w:szCs w:val="18"/>
          <w:color w:val="auto"/>
        </w:rPr>
        <w:t>Unless the applicable prospectus supplement provides otherwise, we will not receive any of the proceeds from the sale of our securities by selling securityholders.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5" w:name="page36"/>
    <w:bookmarkEnd w:id="35"/>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121" w:lineRule="exact"/>
        <w:rPr>
          <w:sz w:val="20"/>
          <w:szCs w:val="20"/>
          <w:color w:val="auto"/>
        </w:rPr>
      </w:pPr>
    </w:p>
    <w:p>
      <w:pPr>
        <w:ind w:left="300" w:right="519"/>
        <w:spacing w:after="0" w:line="259" w:lineRule="auto"/>
        <w:rPr>
          <w:sz w:val="20"/>
          <w:szCs w:val="20"/>
          <w:color w:val="auto"/>
        </w:rPr>
      </w:pPr>
      <w:r>
        <w:rPr>
          <w:rFonts w:ascii="Arial" w:cs="Arial" w:eastAsia="Arial" w:hAnsi="Arial"/>
          <w:sz w:val="18"/>
          <w:szCs w:val="18"/>
          <w:color w:val="auto"/>
        </w:rPr>
        <w:t>The following is a summary of some of the terms of our capital stock and certain provisions of our amended and restated certificate of incorporation and amended and restated bylaws, and is qualified by reference to these documents. Copies of these documents have been filed with the SEC as exhibits to our periodic reports, which are incorporated by reference in this prospectus.</w:t>
      </w:r>
    </w:p>
    <w:p>
      <w:pPr>
        <w:spacing w:after="0" w:line="79" w:lineRule="exact"/>
        <w:rPr>
          <w:sz w:val="20"/>
          <w:szCs w:val="20"/>
          <w:color w:val="auto"/>
        </w:rPr>
      </w:pPr>
    </w:p>
    <w:p>
      <w:pPr>
        <w:ind w:left="300" w:right="619"/>
        <w:spacing w:after="0" w:line="263" w:lineRule="auto"/>
        <w:rPr>
          <w:sz w:val="20"/>
          <w:szCs w:val="20"/>
          <w:color w:val="auto"/>
        </w:rPr>
      </w:pPr>
      <w:r>
        <w:rPr>
          <w:rFonts w:ascii="Arial" w:cs="Arial" w:eastAsia="Arial" w:hAnsi="Arial"/>
          <w:sz w:val="18"/>
          <w:szCs w:val="18"/>
          <w:color w:val="auto"/>
        </w:rPr>
        <w:t>Except as otherwise specified below, references to voting by our stockholders contained in this “Description of Capital Stock” are references to voting by holders of capital stock entitled to attend and vote generally at general meetings of our stockholders.</w:t>
      </w:r>
    </w:p>
    <w:p>
      <w:pPr>
        <w:spacing w:after="0" w:line="3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Capital Stock</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authorized capital stock is divided into:</w:t>
      </w:r>
    </w:p>
    <w:p>
      <w:pPr>
        <w:spacing w:after="0" w:line="117" w:lineRule="exact"/>
        <w:rPr>
          <w:sz w:val="20"/>
          <w:szCs w:val="20"/>
          <w:color w:val="auto"/>
        </w:rPr>
      </w:pPr>
    </w:p>
    <w:p>
      <w:pPr>
        <w:ind w:left="1020" w:hanging="368"/>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233,333,333 shares of Class 1 common stock with a par value of $0.0001 per share;</w:t>
      </w:r>
    </w:p>
    <w:p>
      <w:pPr>
        <w:spacing w:after="0" w:line="117" w:lineRule="exact"/>
        <w:rPr>
          <w:rFonts w:ascii="Arial" w:cs="Arial" w:eastAsia="Arial" w:hAnsi="Arial"/>
          <w:sz w:val="18"/>
          <w:szCs w:val="18"/>
          <w:color w:val="auto"/>
        </w:rPr>
      </w:pPr>
    </w:p>
    <w:p>
      <w:pPr>
        <w:ind w:left="1020" w:hanging="368"/>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746,666,667 shares of Class 2 common stock with a par value of $0.0001 per share; and</w:t>
      </w:r>
    </w:p>
    <w:p>
      <w:pPr>
        <w:spacing w:after="0" w:line="117" w:lineRule="exact"/>
        <w:rPr>
          <w:rFonts w:ascii="Arial" w:cs="Arial" w:eastAsia="Arial" w:hAnsi="Arial"/>
          <w:sz w:val="18"/>
          <w:szCs w:val="18"/>
          <w:color w:val="auto"/>
        </w:rPr>
      </w:pPr>
    </w:p>
    <w:p>
      <w:pPr>
        <w:ind w:left="1020" w:hanging="368"/>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10,000,000 undesignated shares of preferred stock with a par value of $0.0001 per share.</w:t>
      </w:r>
    </w:p>
    <w:p>
      <w:pPr>
        <w:spacing w:after="0" w:line="117" w:lineRule="exact"/>
        <w:rPr>
          <w:sz w:val="20"/>
          <w:szCs w:val="20"/>
          <w:color w:val="auto"/>
        </w:rPr>
      </w:pPr>
    </w:p>
    <w:p>
      <w:pPr>
        <w:ind w:left="300" w:right="319"/>
        <w:spacing w:after="0" w:line="259" w:lineRule="auto"/>
        <w:rPr>
          <w:sz w:val="20"/>
          <w:szCs w:val="20"/>
          <w:color w:val="auto"/>
        </w:rPr>
      </w:pPr>
      <w:r>
        <w:rPr>
          <w:rFonts w:ascii="Arial" w:cs="Arial" w:eastAsia="Arial" w:hAnsi="Arial"/>
          <w:sz w:val="18"/>
          <w:szCs w:val="18"/>
          <w:color w:val="auto"/>
        </w:rPr>
        <w:t>As of October 4, 2022, 611,402,319 shares of Class 2 common stock were outstanding. We are seeking to amend our amended and restated certificate of incorporation to eliminate our Class 1 common stock, subject to achieving required shareholder approval of the proposed amendment. There are currently no shares of Class 1 common stock outstanding.</w:t>
      </w:r>
    </w:p>
    <w:p>
      <w:pPr>
        <w:spacing w:after="0" w:line="79" w:lineRule="exact"/>
        <w:rPr>
          <w:sz w:val="20"/>
          <w:szCs w:val="20"/>
          <w:color w:val="auto"/>
        </w:rPr>
      </w:pPr>
    </w:p>
    <w:p>
      <w:pPr>
        <w:ind w:left="300" w:right="399"/>
        <w:spacing w:after="0" w:line="259" w:lineRule="auto"/>
        <w:rPr>
          <w:sz w:val="20"/>
          <w:szCs w:val="20"/>
          <w:color w:val="auto"/>
        </w:rPr>
      </w:pPr>
      <w:r>
        <w:rPr>
          <w:rFonts w:ascii="Arial" w:cs="Arial" w:eastAsia="Arial" w:hAnsi="Arial"/>
          <w:sz w:val="18"/>
          <w:szCs w:val="18"/>
          <w:color w:val="auto"/>
        </w:rPr>
        <w:t>The rights and restrictions to which the Class 1 common stock and Class 2 common stock are prescribed in our amended and restated certificate of incorporation. Our amended and restated certificate of incorporation entitles our board of directors, without stockholder approval, to determine the terms of the undesignated shares of preferred stock issued by us.</w:t>
      </w:r>
    </w:p>
    <w:p>
      <w:pPr>
        <w:spacing w:after="0" w:line="3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Common Stock</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left="300" w:right="379"/>
        <w:spacing w:after="0" w:line="275" w:lineRule="auto"/>
        <w:rPr>
          <w:sz w:val="20"/>
          <w:szCs w:val="20"/>
          <w:color w:val="auto"/>
        </w:rPr>
      </w:pPr>
      <w:r>
        <w:rPr>
          <w:rFonts w:ascii="Arial" w:cs="Arial" w:eastAsia="Arial" w:hAnsi="Arial"/>
          <w:sz w:val="17"/>
          <w:szCs w:val="17"/>
          <w:color w:val="auto"/>
        </w:rPr>
        <w:t>Holders of our Class 1 common stock and Class 2 common stock have identical rights, provided that, except as otherwise expressly provided in our amended and restated certificate of incorporation or required by applicable law, on any matter that is submitted to a vote of our stockholders, each holder of Class 1 common stock is entitled to 10 votes for each share of Class 1 common stock held by such holder and each holder of Class 2 common stock is entitled to one vote for each share of Class 2 common stock held by such holder.</w:t>
      </w:r>
    </w:p>
    <w:p>
      <w:pPr>
        <w:spacing w:after="0" w:line="68" w:lineRule="exact"/>
        <w:rPr>
          <w:sz w:val="20"/>
          <w:szCs w:val="20"/>
          <w:color w:val="auto"/>
        </w:rPr>
      </w:pPr>
    </w:p>
    <w:p>
      <w:pPr>
        <w:ind w:left="300" w:right="459"/>
        <w:spacing w:after="0" w:line="286" w:lineRule="auto"/>
        <w:rPr>
          <w:sz w:val="20"/>
          <w:szCs w:val="20"/>
          <w:color w:val="auto"/>
        </w:rPr>
      </w:pPr>
      <w:r>
        <w:rPr>
          <w:rFonts w:ascii="Arial" w:cs="Arial" w:eastAsia="Arial" w:hAnsi="Arial"/>
          <w:sz w:val="17"/>
          <w:szCs w:val="17"/>
          <w:color w:val="auto"/>
        </w:rPr>
        <w:t>Holders of shares of Class 1 common stock and Class 2 common stock will vote together as a single class on all matters (including the election of directors) submitted to a vote of stockholders, except that there will be a separate vote of our Class 1 common stock and Class 2 common stock in the following circumstances:</w:t>
      </w:r>
    </w:p>
    <w:p>
      <w:pPr>
        <w:spacing w:after="0" w:line="57" w:lineRule="exact"/>
        <w:rPr>
          <w:sz w:val="20"/>
          <w:szCs w:val="20"/>
          <w:color w:val="auto"/>
        </w:rPr>
      </w:pPr>
    </w:p>
    <w:p>
      <w:pPr>
        <w:ind w:left="1020" w:right="339" w:hanging="368"/>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we propose to treat the shares of a class of our common stock differently with respect to any dividend or distribution of cash, property or shares of our stock paid or distributed by us;</w:t>
      </w:r>
    </w:p>
    <w:p>
      <w:pPr>
        <w:spacing w:after="0" w:line="62" w:lineRule="exact"/>
        <w:rPr>
          <w:rFonts w:ascii="Arial" w:cs="Arial" w:eastAsia="Arial" w:hAnsi="Arial"/>
          <w:sz w:val="18"/>
          <w:szCs w:val="18"/>
          <w:color w:val="auto"/>
        </w:rPr>
      </w:pPr>
    </w:p>
    <w:p>
      <w:pPr>
        <w:ind w:left="1020" w:right="339" w:hanging="368"/>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we propose to treat the shares of a class of our common stock differently with respect to any subdivision or combination of the shares of a class of our common stock; or</w:t>
      </w:r>
    </w:p>
    <w:p>
      <w:pPr>
        <w:spacing w:after="0" w:line="62" w:lineRule="exact"/>
        <w:rPr>
          <w:rFonts w:ascii="Arial" w:cs="Arial" w:eastAsia="Arial" w:hAnsi="Arial"/>
          <w:sz w:val="18"/>
          <w:szCs w:val="18"/>
          <w:color w:val="auto"/>
        </w:rPr>
      </w:pPr>
    </w:p>
    <w:p>
      <w:pPr>
        <w:ind w:left="1020" w:right="599" w:hanging="368"/>
        <w:spacing w:after="0" w:line="259"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we propose to treat the shares of a class of our common stock differently in connection with a liquidation, dissolution or change in control (by merger, asset sale or other similar transaction) with respect to any consideration into which the shares are converted or any consideration paid or otherwise distributed to our stockholders.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6" w:name="page37"/>
    <w:bookmarkEnd w:id="36"/>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479"/>
        <w:spacing w:after="0" w:line="277" w:lineRule="auto"/>
        <w:rPr>
          <w:sz w:val="20"/>
          <w:szCs w:val="20"/>
          <w:color w:val="auto"/>
        </w:rPr>
      </w:pPr>
      <w:r>
        <w:rPr>
          <w:rFonts w:ascii="Arial" w:cs="Arial" w:eastAsia="Arial" w:hAnsi="Arial"/>
          <w:sz w:val="18"/>
          <w:szCs w:val="18"/>
          <w:color w:val="auto"/>
        </w:rPr>
        <w:t>In addition, there will be a separate vote of and approval requirement for our Class 1 common stock in order for us to, directly or indirectly, take action in the following circumstances:</w:t>
      </w:r>
    </w:p>
    <w:p>
      <w:pPr>
        <w:spacing w:after="0" w:line="62" w:lineRule="exact"/>
        <w:rPr>
          <w:sz w:val="20"/>
          <w:szCs w:val="20"/>
          <w:color w:val="auto"/>
        </w:rPr>
      </w:pPr>
    </w:p>
    <w:p>
      <w:pPr>
        <w:ind w:left="1020" w:right="379" w:hanging="368"/>
        <w:spacing w:after="0" w:line="259"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we propose to amend, waive, alter or repeal any provision of our amended and restated certificate of incorporation or our amended and restated bylaws in a manner that modifies the voting, conversion or other powers, preferences or other special rights or privileges or restrictions of the Class 1 common stock; or</w:t>
      </w:r>
    </w:p>
    <w:p>
      <w:pPr>
        <w:spacing w:after="0" w:line="78" w:lineRule="exact"/>
        <w:rPr>
          <w:rFonts w:ascii="Arial" w:cs="Arial" w:eastAsia="Arial" w:hAnsi="Arial"/>
          <w:sz w:val="18"/>
          <w:szCs w:val="18"/>
          <w:color w:val="auto"/>
        </w:rPr>
      </w:pPr>
    </w:p>
    <w:p>
      <w:pPr>
        <w:ind w:left="1020" w:right="339" w:hanging="368"/>
        <w:spacing w:after="0" w:line="263"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we reclassify any outstanding shares of Class 2 common stock into shares having rights as to dividends or liquidation that are senior to the Class 1 common stock or the right to more than one vote for each share thereof.</w:t>
      </w:r>
    </w:p>
    <w:p>
      <w:pPr>
        <w:spacing w:after="0" w:line="76" w:lineRule="exact"/>
        <w:rPr>
          <w:sz w:val="20"/>
          <w:szCs w:val="20"/>
          <w:color w:val="auto"/>
        </w:rPr>
      </w:pPr>
    </w:p>
    <w:p>
      <w:pPr>
        <w:ind w:left="300" w:right="439"/>
        <w:spacing w:after="0" w:line="286" w:lineRule="auto"/>
        <w:rPr>
          <w:sz w:val="20"/>
          <w:szCs w:val="20"/>
          <w:color w:val="auto"/>
        </w:rPr>
      </w:pPr>
      <w:r>
        <w:rPr>
          <w:rFonts w:ascii="Arial" w:cs="Arial" w:eastAsia="Arial" w:hAnsi="Arial"/>
          <w:sz w:val="17"/>
          <w:szCs w:val="17"/>
          <w:color w:val="auto"/>
        </w:rPr>
        <w:t>Cumulative voting for the election of directors is not provided for in our amended and restated certificate of incorporation, which means that the holder of our Class 1 common stock can elect all of the directors then standing for election as long as it holds approximately 10.01% of all outstanding shares of our capital stock.</w:t>
      </w:r>
    </w:p>
    <w:p>
      <w:pPr>
        <w:spacing w:after="0" w:line="21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Dividends and Distributions</w:t>
      </w:r>
    </w:p>
    <w:p>
      <w:pPr>
        <w:spacing w:after="0" w:line="117" w:lineRule="exact"/>
        <w:rPr>
          <w:sz w:val="20"/>
          <w:szCs w:val="20"/>
          <w:color w:val="auto"/>
        </w:rPr>
      </w:pPr>
    </w:p>
    <w:p>
      <w:pPr>
        <w:ind w:left="300" w:right="739"/>
        <w:spacing w:after="0" w:line="259" w:lineRule="auto"/>
        <w:rPr>
          <w:sz w:val="20"/>
          <w:szCs w:val="20"/>
          <w:color w:val="auto"/>
        </w:rPr>
      </w:pPr>
      <w:r>
        <w:rPr>
          <w:rFonts w:ascii="Arial" w:cs="Arial" w:eastAsia="Arial" w:hAnsi="Arial"/>
          <w:sz w:val="18"/>
          <w:szCs w:val="18"/>
          <w:color w:val="auto"/>
        </w:rPr>
        <w:t>Subject to preferences that may apply to any shares of preferred stock outstanding at the time, the holders of outstanding shares of Class 1 common stock and Class 2 common stock are entitled to receive dividends out of funds legally available at the times and in the amounts that our board of directors may determine. We do not anticipate paying any cash dividends in the foreseeable future.</w:t>
      </w:r>
    </w:p>
    <w:p>
      <w:pPr>
        <w:spacing w:after="0" w:line="22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117" w:lineRule="exact"/>
        <w:rPr>
          <w:sz w:val="20"/>
          <w:szCs w:val="20"/>
          <w:color w:val="auto"/>
        </w:rPr>
      </w:pPr>
    </w:p>
    <w:p>
      <w:pPr>
        <w:ind w:left="300" w:right="319"/>
        <w:spacing w:after="0" w:line="259" w:lineRule="auto"/>
        <w:rPr>
          <w:sz w:val="20"/>
          <w:szCs w:val="20"/>
          <w:color w:val="auto"/>
        </w:rPr>
      </w:pPr>
      <w:r>
        <w:rPr>
          <w:rFonts w:ascii="Arial" w:cs="Arial" w:eastAsia="Arial" w:hAnsi="Arial"/>
          <w:sz w:val="18"/>
          <w:szCs w:val="18"/>
          <w:color w:val="auto"/>
        </w:rPr>
        <w:t>Upon our liquidation, dissolution or winding-up, the assets legally available for distribution to our stockholders would be distributable ratably among the holders of common stock and any participating preferred stock outstanding at that time after payment of liquidation preferences, on any outstanding shares of preferred stock and payment of other claims of creditors.</w:t>
      </w:r>
    </w:p>
    <w:p>
      <w:pPr>
        <w:spacing w:after="0" w:line="79" w:lineRule="exact"/>
        <w:rPr>
          <w:sz w:val="20"/>
          <w:szCs w:val="20"/>
          <w:color w:val="auto"/>
        </w:rPr>
      </w:pPr>
    </w:p>
    <w:p>
      <w:pPr>
        <w:ind w:left="300" w:right="419"/>
        <w:spacing w:after="0" w:line="342" w:lineRule="auto"/>
        <w:rPr>
          <w:sz w:val="20"/>
          <w:szCs w:val="20"/>
          <w:color w:val="auto"/>
        </w:rPr>
      </w:pPr>
      <w:r>
        <w:rPr>
          <w:rFonts w:ascii="Arial" w:cs="Arial" w:eastAsia="Arial" w:hAnsi="Arial"/>
          <w:sz w:val="16"/>
          <w:szCs w:val="16"/>
          <w:color w:val="auto"/>
        </w:rPr>
        <w:t>The rights, preferences and privileges of holders of common stock are subject to, and may be adversely affected by, the rights of holders of shares of any series of preferred stock that we may designate and issue in the future.</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Conversion Rights</w:t>
      </w:r>
    </w:p>
    <w:p>
      <w:pPr>
        <w:spacing w:after="0" w:line="117" w:lineRule="exact"/>
        <w:rPr>
          <w:sz w:val="20"/>
          <w:szCs w:val="20"/>
          <w:color w:val="auto"/>
        </w:rPr>
      </w:pPr>
    </w:p>
    <w:p>
      <w:pPr>
        <w:ind w:left="300" w:right="439"/>
        <w:spacing w:after="0" w:line="291" w:lineRule="auto"/>
        <w:rPr>
          <w:sz w:val="20"/>
          <w:szCs w:val="20"/>
          <w:color w:val="auto"/>
        </w:rPr>
      </w:pPr>
      <w:r>
        <w:rPr>
          <w:rFonts w:ascii="Arial" w:cs="Arial" w:eastAsia="Arial" w:hAnsi="Arial"/>
          <w:sz w:val="16"/>
          <w:szCs w:val="16"/>
          <w:color w:val="auto"/>
        </w:rPr>
        <w:t>Each share of Class 1 common stock is convertible at any time at the option of the holder into one share of Class 2 Common stock. In addition, each share of Class 1 common stock will automatically convert into one share of Class</w:t>
      </w:r>
    </w:p>
    <w:p>
      <w:pPr>
        <w:ind w:left="300" w:right="339"/>
        <w:spacing w:after="0" w:line="290" w:lineRule="auto"/>
        <w:rPr>
          <w:sz w:val="20"/>
          <w:szCs w:val="20"/>
          <w:color w:val="auto"/>
        </w:rPr>
      </w:pPr>
      <w:r>
        <w:rPr>
          <w:rFonts w:ascii="Arial" w:cs="Arial" w:eastAsia="Arial" w:hAnsi="Arial"/>
          <w:sz w:val="16"/>
          <w:szCs w:val="16"/>
          <w:color w:val="auto"/>
        </w:rPr>
        <w:t>2 common stock upon any transfer, whether or not for value and whether voluntary or involuntary or by operation of law, except for certain transfers described in our amended and restated certificate of incorporation, including, without limitation, certain transfers for tax and estate planning purposes. In addition, upon the date on which the outstanding shares of Class 1 common stock represent less than 10% of the aggregate number of shares of Class 1 common stock and Class 2 common stock then outstanding, all outstanding shares of Class 1 common stock shall convert automatically into Class 2 common stock, and no additional shares of Class 1 common stock will be issued.</w:t>
      </w:r>
    </w:p>
    <w:p>
      <w:pPr>
        <w:spacing w:after="0" w:line="21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Rights of Repurchase</w:t>
      </w:r>
    </w:p>
    <w:p>
      <w:pPr>
        <w:spacing w:after="0" w:line="117" w:lineRule="exact"/>
        <w:rPr>
          <w:sz w:val="20"/>
          <w:szCs w:val="20"/>
          <w:color w:val="auto"/>
        </w:rPr>
      </w:pPr>
    </w:p>
    <w:p>
      <w:pPr>
        <w:ind w:left="300" w:right="799"/>
        <w:spacing w:after="0" w:line="277" w:lineRule="auto"/>
        <w:rPr>
          <w:sz w:val="20"/>
          <w:szCs w:val="20"/>
          <w:color w:val="auto"/>
        </w:rPr>
      </w:pPr>
      <w:r>
        <w:rPr>
          <w:rFonts w:ascii="Arial" w:cs="Arial" w:eastAsia="Arial" w:hAnsi="Arial"/>
          <w:sz w:val="18"/>
          <w:szCs w:val="18"/>
          <w:color w:val="auto"/>
        </w:rPr>
        <w:t>We currently have no rights to repurchase shares of our common stock, except as described in “—Options and Restricted Stock Units” below.</w:t>
      </w:r>
    </w:p>
    <w:p>
      <w:pPr>
        <w:spacing w:after="0" w:line="22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Preemptive or Similar Rights</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common stock is not entitled to preemptive rights and is not subject to redemption.</w:t>
      </w:r>
    </w:p>
    <w:p>
      <w:pPr>
        <w:spacing w:after="0" w:line="2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Options and Restricted Stock Units</w:t>
      </w:r>
    </w:p>
    <w:p>
      <w:pPr>
        <w:spacing w:after="0" w:line="121" w:lineRule="exact"/>
        <w:rPr>
          <w:sz w:val="20"/>
          <w:szCs w:val="20"/>
          <w:color w:val="auto"/>
        </w:rPr>
      </w:pPr>
    </w:p>
    <w:p>
      <w:pPr>
        <w:ind w:left="300" w:right="359"/>
        <w:spacing w:after="0" w:line="257" w:lineRule="auto"/>
        <w:rPr>
          <w:sz w:val="20"/>
          <w:szCs w:val="20"/>
          <w:color w:val="auto"/>
        </w:rPr>
      </w:pPr>
      <w:r>
        <w:rPr>
          <w:rFonts w:ascii="Arial" w:cs="Arial" w:eastAsia="Arial" w:hAnsi="Arial"/>
          <w:sz w:val="18"/>
          <w:szCs w:val="18"/>
          <w:color w:val="auto"/>
        </w:rPr>
        <w:t>As of October 4, 2022, 4,714,929 shares of Class 2 common stock were issuable upon the exercise of outstanding stock options and 17,239,692 shares of Class 2 common stock were issuable upon vesting of RSUs. Pursuant to the terms of our standard option agreement, we have a right to repurchase shares of our common stock issued upon the exercise of options granted under the Amended and Restated 2018 Equity Incentive Plan if the holder of such shares ceases providing services for us for any reason.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7" w:name="page38"/>
    <w:bookmarkEnd w:id="37"/>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300" w:right="399"/>
        <w:spacing w:after="0" w:line="287" w:lineRule="auto"/>
        <w:rPr>
          <w:sz w:val="20"/>
          <w:szCs w:val="20"/>
          <w:color w:val="auto"/>
        </w:rPr>
      </w:pPr>
      <w:r>
        <w:rPr>
          <w:rFonts w:ascii="Arial" w:cs="Arial" w:eastAsia="Arial" w:hAnsi="Arial"/>
          <w:sz w:val="16"/>
          <w:szCs w:val="16"/>
          <w:color w:val="auto"/>
        </w:rPr>
        <w:t>Pursuant to our amended and restated certificate of incorporation, our board of directors has the authority, without further action by the stockholders, to issue shares of preferred stock in one or more series. Our board of directors also has the authority to determine or alter the designation, rights, preferences, privileges and restrictions granted to or imposed upon any unissued series of preferred stock, any or all of which may be greater than the rights of the Class 1 common stock and Class 2 common stock. Our board of directors, without stockholder approval, may issue preferred stock with voting, conversion or other rights that are superior to the voting and other rights of the holders of Class 1 common stock and Class 2 common stock. The issuance of preferred stock may have the effect of delaying, deferring or preventing a change of control of Tilray without further action by the stockholders, and may have the effect of delaying or preventing changes in management of Tilray. In addition, the issuance of preferred stock may have the effect of decreasing the market price of the Class 2 common stock and may adversely affect the voting power of holders of Class 1 common stock and Class 2 common stock and reduce the likelihood that Class 1 common stock and Class 2 common stockholders will receive dividend payments and payments upon liquidation.</w:t>
      </w:r>
    </w:p>
    <w:p>
      <w:pPr>
        <w:spacing w:after="0" w:line="60" w:lineRule="exact"/>
        <w:rPr>
          <w:sz w:val="20"/>
          <w:szCs w:val="20"/>
          <w:color w:val="auto"/>
        </w:rPr>
      </w:pPr>
    </w:p>
    <w:p>
      <w:pPr>
        <w:ind w:left="300" w:right="319"/>
        <w:spacing w:after="0" w:line="255" w:lineRule="auto"/>
        <w:rPr>
          <w:sz w:val="20"/>
          <w:szCs w:val="20"/>
          <w:color w:val="auto"/>
        </w:rPr>
      </w:pPr>
      <w:r>
        <w:rPr>
          <w:rFonts w:ascii="Arial" w:cs="Arial" w:eastAsia="Arial" w:hAnsi="Arial"/>
          <w:sz w:val="18"/>
          <w:szCs w:val="18"/>
          <w:color w:val="auto"/>
        </w:rPr>
        <w:t>Our board of directors will determine the rights, preferences, privileges and restrictions of the preferred stock of each series that we sell under this prospectus and applicable prospectus supplements in the certificate of designation relating to that series. We will file as an exhibit to the registration statement of which this prospectus is a part, or will incorporate by reference from reports that we file with the SEC, the form of the certificate of designation that describes the terms of the series of preferred stock that we are offering before the issuance of the related series of preferred stock. This description will include:</w:t>
      </w:r>
    </w:p>
    <w:p>
      <w:pPr>
        <w:spacing w:after="0" w:line="84" w:lineRule="exact"/>
        <w:rPr>
          <w:sz w:val="20"/>
          <w:szCs w:val="20"/>
          <w:color w:val="auto"/>
        </w:rPr>
      </w:pPr>
    </w:p>
    <w:p>
      <w:pPr>
        <w:ind w:left="1020" w:hanging="368"/>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title and stated value;</w:t>
      </w:r>
    </w:p>
    <w:p>
      <w:pPr>
        <w:spacing w:after="0" w:line="117" w:lineRule="exact"/>
        <w:rPr>
          <w:rFonts w:ascii="Arial" w:cs="Arial" w:eastAsia="Arial" w:hAnsi="Arial"/>
          <w:sz w:val="18"/>
          <w:szCs w:val="18"/>
          <w:color w:val="auto"/>
        </w:rPr>
      </w:pPr>
    </w:p>
    <w:p>
      <w:pPr>
        <w:ind w:left="1020" w:hanging="368"/>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number of shares we are offering;</w:t>
      </w:r>
    </w:p>
    <w:p>
      <w:pPr>
        <w:spacing w:after="0" w:line="117" w:lineRule="exact"/>
        <w:rPr>
          <w:rFonts w:ascii="Arial" w:cs="Arial" w:eastAsia="Arial" w:hAnsi="Arial"/>
          <w:sz w:val="18"/>
          <w:szCs w:val="18"/>
          <w:color w:val="auto"/>
        </w:rPr>
      </w:pPr>
    </w:p>
    <w:p>
      <w:pPr>
        <w:ind w:left="1020" w:hanging="368"/>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liquidation preference per share;</w:t>
      </w:r>
    </w:p>
    <w:p>
      <w:pPr>
        <w:spacing w:after="0" w:line="117" w:lineRule="exact"/>
        <w:rPr>
          <w:rFonts w:ascii="Arial" w:cs="Arial" w:eastAsia="Arial" w:hAnsi="Arial"/>
          <w:sz w:val="18"/>
          <w:szCs w:val="18"/>
          <w:color w:val="auto"/>
        </w:rPr>
      </w:pPr>
    </w:p>
    <w:p>
      <w:pPr>
        <w:ind w:left="1020" w:hanging="368"/>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purchase price per share;</w:t>
      </w:r>
    </w:p>
    <w:p>
      <w:pPr>
        <w:spacing w:after="0" w:line="117" w:lineRule="exact"/>
        <w:rPr>
          <w:rFonts w:ascii="Arial" w:cs="Arial" w:eastAsia="Arial" w:hAnsi="Arial"/>
          <w:sz w:val="18"/>
          <w:szCs w:val="18"/>
          <w:color w:val="auto"/>
        </w:rPr>
      </w:pPr>
    </w:p>
    <w:p>
      <w:pPr>
        <w:ind w:left="1020" w:hanging="368"/>
        <w:spacing w:after="0"/>
        <w:tabs>
          <w:tab w:leader="none" w:pos="10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dividend rate per share, dividend period and payment dates and method of calculation for dividends;</w:t>
      </w:r>
    </w:p>
    <w:p>
      <w:pPr>
        <w:spacing w:after="0" w:line="140" w:lineRule="exact"/>
        <w:rPr>
          <w:rFonts w:ascii="Arial" w:cs="Arial" w:eastAsia="Arial" w:hAnsi="Arial"/>
          <w:sz w:val="16"/>
          <w:szCs w:val="16"/>
          <w:color w:val="auto"/>
        </w:rPr>
      </w:pPr>
    </w:p>
    <w:p>
      <w:pPr>
        <w:ind w:left="1020" w:right="1039" w:hanging="368"/>
        <w:spacing w:after="0" w:line="277"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dividends will be cumulative or non-cumulative and, if cumulative, the date from which dividends will accumulate;</w:t>
      </w:r>
    </w:p>
    <w:p>
      <w:pPr>
        <w:spacing w:after="0" w:line="62" w:lineRule="exact"/>
        <w:rPr>
          <w:rFonts w:ascii="Arial" w:cs="Arial" w:eastAsia="Arial" w:hAnsi="Arial"/>
          <w:sz w:val="18"/>
          <w:szCs w:val="18"/>
          <w:color w:val="auto"/>
        </w:rPr>
      </w:pPr>
    </w:p>
    <w:p>
      <w:pPr>
        <w:ind w:left="1020" w:hanging="368"/>
        <w:spacing w:after="0"/>
        <w:tabs>
          <w:tab w:leader="none" w:pos="10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right, if any, to defer payment of dividends and the maximum length of any such deferral period;</w:t>
      </w:r>
    </w:p>
    <w:p>
      <w:pPr>
        <w:spacing w:after="0" w:line="128" w:lineRule="exact"/>
        <w:rPr>
          <w:rFonts w:ascii="Arial" w:cs="Arial" w:eastAsia="Arial" w:hAnsi="Arial"/>
          <w:sz w:val="17"/>
          <w:szCs w:val="17"/>
          <w:color w:val="auto"/>
        </w:rPr>
      </w:pPr>
    </w:p>
    <w:p>
      <w:pPr>
        <w:ind w:left="1020" w:hanging="368"/>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w:t>
      </w:r>
    </w:p>
    <w:p>
      <w:pPr>
        <w:spacing w:after="0" w:line="117" w:lineRule="exact"/>
        <w:rPr>
          <w:rFonts w:ascii="Arial" w:cs="Arial" w:eastAsia="Arial" w:hAnsi="Arial"/>
          <w:sz w:val="18"/>
          <w:szCs w:val="18"/>
          <w:color w:val="auto"/>
        </w:rPr>
      </w:pPr>
    </w:p>
    <w:p>
      <w:pPr>
        <w:ind w:left="1020" w:hanging="368"/>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provisions for a sinking fund, if any;</w:t>
      </w:r>
    </w:p>
    <w:p>
      <w:pPr>
        <w:spacing w:after="0" w:line="117" w:lineRule="exact"/>
        <w:rPr>
          <w:rFonts w:ascii="Arial" w:cs="Arial" w:eastAsia="Arial" w:hAnsi="Arial"/>
          <w:sz w:val="18"/>
          <w:szCs w:val="18"/>
          <w:color w:val="auto"/>
        </w:rPr>
      </w:pPr>
    </w:p>
    <w:p>
      <w:pPr>
        <w:ind w:left="1020" w:right="539" w:hanging="368"/>
        <w:spacing w:after="0" w:line="277"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provisions for redemption or repurchase, if applicable, and any restrictions on our ability to exercise those redemption and repurchase rights;</w:t>
      </w:r>
    </w:p>
    <w:p>
      <w:pPr>
        <w:spacing w:after="0" w:line="62" w:lineRule="exact"/>
        <w:rPr>
          <w:rFonts w:ascii="Arial" w:cs="Arial" w:eastAsia="Arial" w:hAnsi="Arial"/>
          <w:sz w:val="18"/>
          <w:szCs w:val="18"/>
          <w:color w:val="auto"/>
        </w:rPr>
      </w:pPr>
    </w:p>
    <w:p>
      <w:pPr>
        <w:ind w:left="1020" w:hanging="368"/>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listing of the preferred stock on any securities exchange or market;</w:t>
      </w:r>
    </w:p>
    <w:p>
      <w:pPr>
        <w:spacing w:after="0" w:line="117" w:lineRule="exact"/>
        <w:rPr>
          <w:rFonts w:ascii="Arial" w:cs="Arial" w:eastAsia="Arial" w:hAnsi="Arial"/>
          <w:sz w:val="18"/>
          <w:szCs w:val="18"/>
          <w:color w:val="auto"/>
        </w:rPr>
      </w:pPr>
    </w:p>
    <w:p>
      <w:pPr>
        <w:ind w:left="1020" w:right="439" w:hanging="368"/>
        <w:spacing w:after="0" w:line="263"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the preferred stock will be convertible into our Class 2 common stock or other securities of ours, including warrants, and, if applicable, the conversion period, the conversion price, or how it will be calculated, and under what circumstances it may be adjusted;</w:t>
      </w:r>
    </w:p>
    <w:p>
      <w:pPr>
        <w:spacing w:after="0" w:line="75" w:lineRule="exact"/>
        <w:rPr>
          <w:rFonts w:ascii="Arial" w:cs="Arial" w:eastAsia="Arial" w:hAnsi="Arial"/>
          <w:sz w:val="18"/>
          <w:szCs w:val="18"/>
          <w:color w:val="auto"/>
        </w:rPr>
      </w:pPr>
    </w:p>
    <w:p>
      <w:pPr>
        <w:ind w:left="1020" w:right="379" w:hanging="368"/>
        <w:spacing w:after="0" w:line="342" w:lineRule="auto"/>
        <w:tabs>
          <w:tab w:leader="none" w:pos="10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whether the preferred stock will be exchangeable for debt securities, and, if applicable, the exchange period, the exchange price, or how it will be calculated, and under what circumstances it may be adjusted;</w:t>
      </w:r>
    </w:p>
    <w:p>
      <w:pPr>
        <w:spacing w:after="0" w:line="15" w:lineRule="exact"/>
        <w:rPr>
          <w:rFonts w:ascii="Arial" w:cs="Arial" w:eastAsia="Arial" w:hAnsi="Arial"/>
          <w:sz w:val="16"/>
          <w:szCs w:val="16"/>
          <w:color w:val="auto"/>
        </w:rPr>
      </w:pPr>
    </w:p>
    <w:p>
      <w:pPr>
        <w:ind w:left="1020" w:hanging="368"/>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voting rights, if any, of the preferred stock;</w:t>
      </w:r>
    </w:p>
    <w:p>
      <w:pPr>
        <w:spacing w:after="0" w:line="117" w:lineRule="exact"/>
        <w:rPr>
          <w:rFonts w:ascii="Arial" w:cs="Arial" w:eastAsia="Arial" w:hAnsi="Arial"/>
          <w:sz w:val="18"/>
          <w:szCs w:val="18"/>
          <w:color w:val="auto"/>
        </w:rPr>
      </w:pPr>
    </w:p>
    <w:p>
      <w:pPr>
        <w:ind w:left="1020" w:hanging="368"/>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preemption rights, if any;</w:t>
      </w:r>
    </w:p>
    <w:p>
      <w:pPr>
        <w:spacing w:after="0" w:line="117" w:lineRule="exact"/>
        <w:rPr>
          <w:rFonts w:ascii="Arial" w:cs="Arial" w:eastAsia="Arial" w:hAnsi="Arial"/>
          <w:sz w:val="18"/>
          <w:szCs w:val="18"/>
          <w:color w:val="auto"/>
        </w:rPr>
      </w:pPr>
    </w:p>
    <w:p>
      <w:pPr>
        <w:ind w:left="1020" w:hanging="368"/>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restrictions on transfer, sale or other assignment, if any;</w:t>
      </w:r>
    </w:p>
    <w:p>
      <w:pPr>
        <w:spacing w:after="0" w:line="117" w:lineRule="exact"/>
        <w:rPr>
          <w:rFonts w:ascii="Arial" w:cs="Arial" w:eastAsia="Arial" w:hAnsi="Arial"/>
          <w:sz w:val="18"/>
          <w:szCs w:val="18"/>
          <w:color w:val="auto"/>
        </w:rPr>
      </w:pPr>
    </w:p>
    <w:p>
      <w:pPr>
        <w:ind w:left="1020" w:right="479" w:hanging="368"/>
        <w:spacing w:after="0" w:line="277"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discussion of any material or special U.S. federal income tax considerations applicable to the preferred stock;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8" w:name="page39"/>
    <w:bookmarkEnd w:id="38"/>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1020" w:right="439" w:hanging="368"/>
        <w:spacing w:after="0" w:line="277"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relative ranking and preferences of the preferred stock as to dividend rights and rights if we liquidate, dissolve or wind up our affairs;</w:t>
      </w:r>
    </w:p>
    <w:p>
      <w:pPr>
        <w:spacing w:after="0" w:line="62" w:lineRule="exact"/>
        <w:rPr>
          <w:rFonts w:ascii="Arial" w:cs="Arial" w:eastAsia="Arial" w:hAnsi="Arial"/>
          <w:sz w:val="18"/>
          <w:szCs w:val="18"/>
          <w:color w:val="auto"/>
        </w:rPr>
      </w:pPr>
    </w:p>
    <w:p>
      <w:pPr>
        <w:jc w:val="both"/>
        <w:ind w:left="1020" w:right="439" w:hanging="368"/>
        <w:spacing w:after="0" w:line="263"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limitations on issuances of any class or series of preferred stock ranking senior to or on a parity with the series of preferred stock being issued as to dividend rights and rights if we liquidate, dissolve or wind up our affairs; and</w:t>
      </w:r>
    </w:p>
    <w:p>
      <w:pPr>
        <w:spacing w:after="0" w:line="75" w:lineRule="exact"/>
        <w:rPr>
          <w:rFonts w:ascii="Arial" w:cs="Arial" w:eastAsia="Arial" w:hAnsi="Arial"/>
          <w:sz w:val="18"/>
          <w:szCs w:val="18"/>
          <w:color w:val="auto"/>
        </w:rPr>
      </w:pPr>
    </w:p>
    <w:p>
      <w:pPr>
        <w:ind w:left="1020" w:hanging="368"/>
        <w:spacing w:after="0"/>
        <w:tabs>
          <w:tab w:leader="none" w:pos="10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any other specific terms, rights, preferences, privileges, qualifications or restrictions of the preferred stock.</w:t>
      </w:r>
    </w:p>
    <w:p>
      <w:pPr>
        <w:spacing w:after="0" w:line="19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When we issue shares of preferred stock under this prospectus, the shares will be fully paid and nonassessable.</w:t>
      </w:r>
    </w:p>
    <w:p>
      <w:pPr>
        <w:spacing w:after="0" w:line="140" w:lineRule="exact"/>
        <w:rPr>
          <w:sz w:val="20"/>
          <w:szCs w:val="20"/>
          <w:color w:val="auto"/>
        </w:rPr>
      </w:pPr>
    </w:p>
    <w:p>
      <w:pPr>
        <w:ind w:left="300" w:right="479"/>
        <w:spacing w:after="0" w:line="277" w:lineRule="auto"/>
        <w:rPr>
          <w:sz w:val="20"/>
          <w:szCs w:val="20"/>
          <w:color w:val="auto"/>
        </w:rPr>
      </w:pPr>
      <w:r>
        <w:rPr>
          <w:rFonts w:ascii="Arial" w:cs="Arial" w:eastAsia="Arial" w:hAnsi="Arial"/>
          <w:sz w:val="18"/>
          <w:szCs w:val="18"/>
          <w:color w:val="auto"/>
        </w:rPr>
        <w:t>Unless we specify otherwise in the applicable prospectus supplement, the preferred stock will rank, with respect to dividends and upon our liquidation, dissolution or winding up:</w:t>
      </w:r>
    </w:p>
    <w:p>
      <w:pPr>
        <w:spacing w:after="0" w:line="62" w:lineRule="exact"/>
        <w:rPr>
          <w:sz w:val="20"/>
          <w:szCs w:val="20"/>
          <w:color w:val="auto"/>
        </w:rPr>
      </w:pPr>
    </w:p>
    <w:p>
      <w:pPr>
        <w:ind w:left="1020" w:right="459" w:hanging="368"/>
        <w:spacing w:after="0" w:line="277"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senior to all classes or series of our common stock and to all of our equity securities ranking junior to the preferred stock;</w:t>
      </w:r>
    </w:p>
    <w:p>
      <w:pPr>
        <w:spacing w:after="0" w:line="62" w:lineRule="exact"/>
        <w:rPr>
          <w:rFonts w:ascii="Arial" w:cs="Arial" w:eastAsia="Arial" w:hAnsi="Arial"/>
          <w:sz w:val="18"/>
          <w:szCs w:val="18"/>
          <w:color w:val="auto"/>
        </w:rPr>
      </w:pPr>
    </w:p>
    <w:p>
      <w:pPr>
        <w:ind w:left="1020" w:right="1019" w:hanging="368"/>
        <w:spacing w:after="0" w:line="277"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on a parity with all of our equity securities the terms of which specifically provide that the equity securities rank on a parity with the preferred stock; and</w:t>
      </w:r>
    </w:p>
    <w:p>
      <w:pPr>
        <w:spacing w:after="0" w:line="62" w:lineRule="exact"/>
        <w:rPr>
          <w:rFonts w:ascii="Arial" w:cs="Arial" w:eastAsia="Arial" w:hAnsi="Arial"/>
          <w:sz w:val="18"/>
          <w:szCs w:val="18"/>
          <w:color w:val="auto"/>
        </w:rPr>
      </w:pPr>
    </w:p>
    <w:p>
      <w:pPr>
        <w:ind w:left="1020" w:right="439" w:hanging="368"/>
        <w:spacing w:after="0" w:line="277"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junior to all of our equity securities the terms of which specifically provide that the equity securities rank senior to the preferred stock.</w:t>
      </w:r>
    </w:p>
    <w:p>
      <w:pPr>
        <w:spacing w:after="0" w:line="8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term “equity securities” does not include convertible debt securities.</w:t>
      </w:r>
    </w:p>
    <w:p>
      <w:pPr>
        <w:spacing w:after="0" w:line="117" w:lineRule="exact"/>
        <w:rPr>
          <w:sz w:val="20"/>
          <w:szCs w:val="20"/>
          <w:color w:val="auto"/>
        </w:rPr>
      </w:pPr>
    </w:p>
    <w:p>
      <w:pPr>
        <w:ind w:left="300" w:right="299"/>
        <w:spacing w:after="0" w:line="259" w:lineRule="auto"/>
        <w:rPr>
          <w:sz w:val="20"/>
          <w:szCs w:val="20"/>
          <w:color w:val="auto"/>
        </w:rPr>
      </w:pPr>
      <w:r>
        <w:rPr>
          <w:rFonts w:ascii="Arial" w:cs="Arial" w:eastAsia="Arial" w:hAnsi="Arial"/>
          <w:sz w:val="18"/>
          <w:szCs w:val="18"/>
          <w:color w:val="auto"/>
        </w:rPr>
        <w:t>The General Corporation Law of the State of Delaware, the state of our incorporation, provides that the holders of preferred stock will have the right to vote separately as a class on any proposal involving fundamental changes in the rights of holders of that preferred stock. This right is in addition to any voting rights that may be provided for in the applicable certificate of designation.</w:t>
      </w:r>
    </w:p>
    <w:p>
      <w:pPr>
        <w:spacing w:after="0" w:line="3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Anti-Takeover Provisions</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Amended and Restated Certificate of Incorporation and Amended and Restated Bylaws</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Among other things, our amended and restated certificate of incorporation and amended and restated bylaws:</w:t>
      </w:r>
    </w:p>
    <w:p>
      <w:pPr>
        <w:spacing w:after="0" w:line="129" w:lineRule="exact"/>
        <w:rPr>
          <w:sz w:val="20"/>
          <w:szCs w:val="20"/>
          <w:color w:val="auto"/>
        </w:rPr>
      </w:pPr>
    </w:p>
    <w:p>
      <w:pPr>
        <w:ind w:left="1020" w:right="599" w:hanging="368"/>
        <w:spacing w:after="0" w:line="263"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permits our board of directors to issue up to 10,000,000 shares of preferred stock, with any rights, preferences and privileges as they may designate, including the right to approve an acquisition or other change of control;</w:t>
      </w:r>
    </w:p>
    <w:p>
      <w:pPr>
        <w:spacing w:after="0" w:line="75" w:lineRule="exact"/>
        <w:rPr>
          <w:rFonts w:ascii="Arial" w:cs="Arial" w:eastAsia="Arial" w:hAnsi="Arial"/>
          <w:sz w:val="18"/>
          <w:szCs w:val="18"/>
          <w:color w:val="auto"/>
        </w:rPr>
      </w:pPr>
    </w:p>
    <w:p>
      <w:pPr>
        <w:ind w:left="1020" w:right="839" w:hanging="368"/>
        <w:spacing w:after="0" w:line="277"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provides that the authorized number of directors may be changed only by resolution of our board of directors;</w:t>
      </w:r>
    </w:p>
    <w:p>
      <w:pPr>
        <w:spacing w:after="0" w:line="62" w:lineRule="exact"/>
        <w:rPr>
          <w:rFonts w:ascii="Arial" w:cs="Arial" w:eastAsia="Arial" w:hAnsi="Arial"/>
          <w:sz w:val="18"/>
          <w:szCs w:val="18"/>
          <w:color w:val="auto"/>
        </w:rPr>
      </w:pPr>
    </w:p>
    <w:p>
      <w:pPr>
        <w:ind w:left="1020" w:right="319" w:hanging="368"/>
        <w:spacing w:after="0" w:line="246" w:lineRule="auto"/>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provides that, subject to the rights of any series of preferred stock to elect directors, directors may be removed with or without cause, by the holders of a majority of our then-outstanding shares of capital stock entitled to vote generally at an election of directors for so long as key holders (including Privateer Holdings, Brendan Kennedy, Michael Blue, or Christian Groh or their permitted entities or transferees) holds a majority of our then-outstanding shares of capital stock entitled to vote generally at an election of directors, or otherwise by the holders of at least 66</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12"/>
          <w:szCs w:val="12"/>
          <w:color w:val="auto"/>
        </w:rPr>
        <w:t>3</w:t>
      </w:r>
      <w:r>
        <w:rPr>
          <w:rFonts w:ascii="Arial" w:cs="Arial" w:eastAsia="Arial" w:hAnsi="Arial"/>
          <w:sz w:val="17"/>
          <w:szCs w:val="17"/>
          <w:color w:val="auto"/>
        </w:rPr>
        <w:t>% of all of our then-outstanding shares of the capital stock entitled to vote generally at an election of directors;</w:t>
      </w:r>
    </w:p>
    <w:p>
      <w:pPr>
        <w:spacing w:after="0" w:line="87" w:lineRule="exact"/>
        <w:rPr>
          <w:rFonts w:ascii="Arial" w:cs="Arial" w:eastAsia="Arial" w:hAnsi="Arial"/>
          <w:sz w:val="17"/>
          <w:szCs w:val="17"/>
          <w:color w:val="auto"/>
        </w:rPr>
      </w:pPr>
    </w:p>
    <w:p>
      <w:pPr>
        <w:jc w:val="both"/>
        <w:ind w:left="1020" w:right="519" w:hanging="368"/>
        <w:spacing w:after="0" w:line="342" w:lineRule="auto"/>
        <w:tabs>
          <w:tab w:leader="none" w:pos="10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provides that all vacancies, including newly created directorships, may, except as otherwise required by law, be filled by the affirmative vote of a majority of directors then in office, even if less than a quorum;</w:t>
      </w:r>
    </w:p>
    <w:p>
      <w:pPr>
        <w:spacing w:after="0" w:line="15" w:lineRule="exact"/>
        <w:rPr>
          <w:rFonts w:ascii="Arial" w:cs="Arial" w:eastAsia="Arial" w:hAnsi="Arial"/>
          <w:sz w:val="16"/>
          <w:szCs w:val="16"/>
          <w:color w:val="auto"/>
        </w:rPr>
      </w:pPr>
    </w:p>
    <w:p>
      <w:pPr>
        <w:ind w:left="1020" w:right="319" w:hanging="368"/>
        <w:spacing w:after="0" w:line="311" w:lineRule="auto"/>
        <w:tabs>
          <w:tab w:leader="none" w:pos="10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provides that any action to be taken by our stockholders may be taken by written consent or electronic transmission pursuant to Section 228 of the Delaware General Corporation Law, so long as the key holders hold a majority of our then-outstanding capital stock entitled to vote generally at an election of directors;</w:t>
      </w:r>
    </w:p>
    <w:p>
      <w:pPr>
        <w:spacing w:after="0" w:line="40" w:lineRule="exact"/>
        <w:rPr>
          <w:rFonts w:ascii="Arial" w:cs="Arial" w:eastAsia="Arial" w:hAnsi="Arial"/>
          <w:sz w:val="16"/>
          <w:szCs w:val="16"/>
          <w:color w:val="auto"/>
        </w:rPr>
      </w:pPr>
    </w:p>
    <w:p>
      <w:pPr>
        <w:jc w:val="both"/>
        <w:ind w:left="1020" w:right="539" w:hanging="368"/>
        <w:spacing w:after="0" w:line="286" w:lineRule="auto"/>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provides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9" w:name="page40"/>
    <w:bookmarkEnd w:id="39"/>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1020" w:right="579" w:hanging="368"/>
        <w:spacing w:after="0" w:line="255"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provides that special meetings of our stockholders may be called by the chairperson of our board of directors, our chief executive officer, by our board of directors pursuant to a resolution adopted by a majority of the total number of authorized directors or, for so long as the key holders hold a majority of our then-outstanding capital stock entitled to vote generally at an election of directors, one or more stockholders that in the aggregate represent at least 50% of the total votes entitled to be cast at the meeting;</w:t>
      </w:r>
    </w:p>
    <w:p>
      <w:pPr>
        <w:spacing w:after="0" w:line="84" w:lineRule="exact"/>
        <w:rPr>
          <w:rFonts w:ascii="Arial" w:cs="Arial" w:eastAsia="Arial" w:hAnsi="Arial"/>
          <w:sz w:val="18"/>
          <w:szCs w:val="18"/>
          <w:color w:val="auto"/>
        </w:rPr>
      </w:pPr>
    </w:p>
    <w:p>
      <w:pPr>
        <w:jc w:val="both"/>
        <w:ind w:left="1020" w:right="379" w:hanging="368"/>
        <w:spacing w:after="0" w:line="286" w:lineRule="auto"/>
        <w:tabs>
          <w:tab w:leader="none" w:pos="10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provides that our board of directors will be divided into three classes of directors, with the classes to be as nearly equal as possible and with the directors serving three-year terms, therefore making it more difficult for stockholders to change the composition of our board of directors; and</w:t>
      </w:r>
    </w:p>
    <w:p>
      <w:pPr>
        <w:spacing w:after="0" w:line="57" w:lineRule="exact"/>
        <w:rPr>
          <w:rFonts w:ascii="Arial" w:cs="Arial" w:eastAsia="Arial" w:hAnsi="Arial"/>
          <w:sz w:val="17"/>
          <w:szCs w:val="17"/>
          <w:color w:val="auto"/>
        </w:rPr>
      </w:pPr>
    </w:p>
    <w:p>
      <w:pPr>
        <w:ind w:left="1020" w:right="299" w:hanging="368"/>
        <w:spacing w:after="0" w:line="249" w:lineRule="auto"/>
        <w:tabs>
          <w:tab w:leader="none" w:pos="10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does not provide for cumulative voting rights, unless required by law, therefore allowing the holders of a majority of the shares of common stock entitled to vote in any election of directors to elect all of the directors standing for election, if they should so choose. For so long as Privateer Holdings holds a majority of our then-outstanding capital stock entitled to vote generally at an election of directors, the amendment of any of these provisions would require approval of the holders of a majority of all of our then-outstanding capital stock entitled to vote generally in the election of directors; otherwise, the amendment of any of these provisions would require approval by the holders of at least 66</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12"/>
          <w:szCs w:val="12"/>
          <w:color w:val="auto"/>
        </w:rPr>
        <w:t>3</w:t>
      </w:r>
      <w:r>
        <w:rPr>
          <w:rFonts w:ascii="Arial" w:cs="Arial" w:eastAsia="Arial" w:hAnsi="Arial"/>
          <w:sz w:val="17"/>
          <w:szCs w:val="17"/>
          <w:color w:val="auto"/>
        </w:rPr>
        <w:t>% of all of our then-outstanding capital stock entitled to vote generally in the election of directors.</w:t>
      </w:r>
    </w:p>
    <w:p>
      <w:pPr>
        <w:spacing w:after="0" w:line="82" w:lineRule="exact"/>
        <w:rPr>
          <w:sz w:val="20"/>
          <w:szCs w:val="20"/>
          <w:color w:val="auto"/>
        </w:rPr>
      </w:pPr>
    </w:p>
    <w:p>
      <w:pPr>
        <w:ind w:left="300" w:right="359"/>
        <w:spacing w:after="0" w:line="293" w:lineRule="auto"/>
        <w:rPr>
          <w:sz w:val="20"/>
          <w:szCs w:val="20"/>
          <w:color w:val="auto"/>
        </w:rPr>
      </w:pPr>
      <w:r>
        <w:rPr>
          <w:rFonts w:ascii="Arial" w:cs="Arial" w:eastAsia="Arial" w:hAnsi="Arial"/>
          <w:sz w:val="16"/>
          <w:szCs w:val="16"/>
          <w:color w:val="auto"/>
        </w:rPr>
        <w:t>The combination of these provisions will make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56" w:lineRule="exact"/>
        <w:rPr>
          <w:sz w:val="20"/>
          <w:szCs w:val="20"/>
          <w:color w:val="auto"/>
        </w:rPr>
      </w:pPr>
    </w:p>
    <w:p>
      <w:pPr>
        <w:ind w:left="300" w:right="579"/>
        <w:spacing w:after="0" w:line="293" w:lineRule="auto"/>
        <w:rPr>
          <w:sz w:val="20"/>
          <w:szCs w:val="20"/>
          <w:color w:val="auto"/>
        </w:rPr>
      </w:pPr>
      <w:r>
        <w:rPr>
          <w:rFonts w:ascii="Arial" w:cs="Arial" w:eastAsia="Arial" w:hAnsi="Arial"/>
          <w:sz w:val="16"/>
          <w:szCs w:val="16"/>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w:t>
      </w:r>
    </w:p>
    <w:p>
      <w:pPr>
        <w:spacing w:after="0" w:line="3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Choice of Forum</w:t>
      </w:r>
    </w:p>
    <w:p>
      <w:pPr>
        <w:spacing w:after="0" w:line="121" w:lineRule="exact"/>
        <w:rPr>
          <w:sz w:val="20"/>
          <w:szCs w:val="20"/>
          <w:color w:val="auto"/>
        </w:rPr>
      </w:pPr>
    </w:p>
    <w:p>
      <w:pPr>
        <w:ind w:left="300" w:right="419"/>
        <w:spacing w:after="0" w:line="269" w:lineRule="auto"/>
        <w:rPr>
          <w:sz w:val="20"/>
          <w:szCs w:val="20"/>
          <w:color w:val="auto"/>
        </w:rPr>
      </w:pPr>
      <w:r>
        <w:rPr>
          <w:rFonts w:ascii="Arial" w:cs="Arial" w:eastAsia="Arial" w:hAnsi="Arial"/>
          <w:sz w:val="17"/>
          <w:szCs w:val="17"/>
          <w:color w:val="auto"/>
        </w:rPr>
        <w:t>Our amended and restated certificate of incorporation provides that the Court of Chancery of the State of Delaware will be the exclusive forum for: (i) any derivative action or proceeding brought on our behalf; (ii) any action asserting a breach of fiduciary duty; (iii) any action asserting a claim against us arising under the Delaware General Corporation Law; (iv) any action regarding our amended and restated certificate of incorporation or our amended and restated bylaws or (v) any action asserting a claim against us that is governed by the internal affairs doctrine. Our amended and restated certificate of incorporation further provides that the federal district courts of the United States of America will be the exclusive forum for resolving any complaint asserting a cause of action arising under the Securities Act. If a court were to find the exclusive-forum provision in our amended and restated certificate of incorporation to be inapplicable or unenforceable in an action, we may incur additional costs associated with resolving the dispute in other jurisdictions.</w:t>
      </w:r>
    </w:p>
    <w:p>
      <w:pPr>
        <w:spacing w:after="0" w:line="33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300" w:right="319"/>
        <w:spacing w:after="0" w:line="291" w:lineRule="auto"/>
        <w:rPr>
          <w:sz w:val="20"/>
          <w:szCs w:val="20"/>
          <w:color w:val="auto"/>
        </w:rPr>
      </w:pPr>
      <w:r>
        <w:rPr>
          <w:rFonts w:ascii="Arial" w:cs="Arial" w:eastAsia="Arial" w:hAnsi="Arial"/>
          <w:sz w:val="16"/>
          <w:szCs w:val="16"/>
          <w:color w:val="auto"/>
        </w:rPr>
        <w:t>The transfer agent and registrar for our Class 2 common stock is Pacific Stock Transfer Company. The transfer agent and registrar’s address is 6725 Via Austi Parkway, Ste. 300, Las Vegas, NV, 89119 and its phone number is (800)</w:t>
      </w:r>
    </w:p>
    <w:p>
      <w:pPr>
        <w:ind w:left="300"/>
        <w:spacing w:after="0"/>
        <w:rPr>
          <w:sz w:val="20"/>
          <w:szCs w:val="20"/>
          <w:color w:val="auto"/>
        </w:rPr>
      </w:pPr>
      <w:r>
        <w:rPr>
          <w:rFonts w:ascii="Arial" w:cs="Arial" w:eastAsia="Arial" w:hAnsi="Arial"/>
          <w:sz w:val="18"/>
          <w:szCs w:val="18"/>
          <w:color w:val="auto"/>
        </w:rPr>
        <w:t>785-7782.</w:t>
      </w:r>
    </w:p>
    <w:p>
      <w:pPr>
        <w:spacing w:after="0" w:line="35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Listing</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Class 2 common stock is listed on the Nasdaq Global Select Market under the symbol “TLRY.”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0" w:name="page41"/>
    <w:bookmarkEnd w:id="40"/>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121" w:lineRule="exact"/>
        <w:rPr>
          <w:sz w:val="20"/>
          <w:szCs w:val="20"/>
          <w:color w:val="auto"/>
        </w:rPr>
      </w:pPr>
    </w:p>
    <w:p>
      <w:pPr>
        <w:ind w:left="300" w:right="319"/>
        <w:spacing w:after="0" w:line="272" w:lineRule="auto"/>
        <w:rPr>
          <w:sz w:val="20"/>
          <w:szCs w:val="20"/>
          <w:color w:val="auto"/>
        </w:rPr>
      </w:pPr>
      <w:r>
        <w:rPr>
          <w:rFonts w:ascii="Arial" w:cs="Arial" w:eastAsia="Arial" w:hAnsi="Arial"/>
          <w:sz w:val="17"/>
          <w:szCs w:val="17"/>
          <w:color w:val="auto"/>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or selling securityholders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spacing w:after="0" w:line="69" w:lineRule="exact"/>
        <w:rPr>
          <w:sz w:val="20"/>
          <w:szCs w:val="20"/>
          <w:color w:val="auto"/>
        </w:rPr>
      </w:pPr>
    </w:p>
    <w:p>
      <w:pPr>
        <w:ind w:left="300" w:right="339"/>
        <w:spacing w:after="0" w:line="255" w:lineRule="auto"/>
        <w:rPr>
          <w:sz w:val="20"/>
          <w:szCs w:val="20"/>
          <w:color w:val="auto"/>
        </w:rPr>
      </w:pPr>
      <w:r>
        <w:rPr>
          <w:rFonts w:ascii="Arial" w:cs="Arial" w:eastAsia="Arial" w:hAnsi="Arial"/>
          <w:sz w:val="18"/>
          <w:szCs w:val="18"/>
          <w:color w:val="auto"/>
        </w:rPr>
        <w:t>We will issue the debt securities under the indenture that we will enter into with the trustee named in the indenture. The indenture will be qualified under the Trust Indenture Act of 1939, as amended, or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84" w:lineRule="exact"/>
        <w:rPr>
          <w:sz w:val="20"/>
          <w:szCs w:val="20"/>
          <w:color w:val="auto"/>
        </w:rPr>
      </w:pPr>
    </w:p>
    <w:p>
      <w:pPr>
        <w:ind w:left="300" w:right="399"/>
        <w:spacing w:after="0" w:line="257" w:lineRule="auto"/>
        <w:rPr>
          <w:sz w:val="20"/>
          <w:szCs w:val="20"/>
          <w:color w:val="auto"/>
        </w:rPr>
      </w:pPr>
      <w:r>
        <w:rPr>
          <w:rFonts w:ascii="Arial" w:cs="Arial" w:eastAsia="Arial" w:hAnsi="Arial"/>
          <w:sz w:val="18"/>
          <w:szCs w:val="18"/>
          <w:color w:val="auto"/>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or selling securityholders may offer under this prospectus, as well as the complete indenture that contains the terms of the debt securities.</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300" w:right="299"/>
        <w:spacing w:after="0" w:line="255" w:lineRule="auto"/>
        <w:rPr>
          <w:sz w:val="20"/>
          <w:szCs w:val="20"/>
          <w:color w:val="auto"/>
        </w:rPr>
      </w:pPr>
      <w:r>
        <w:rPr>
          <w:rFonts w:ascii="Arial" w:cs="Arial" w:eastAsia="Arial" w:hAnsi="Arial"/>
          <w:sz w:val="18"/>
          <w:szCs w:val="18"/>
          <w:color w:val="auto"/>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spacing w:after="0" w:line="84" w:lineRule="exact"/>
        <w:rPr>
          <w:sz w:val="20"/>
          <w:szCs w:val="20"/>
          <w:color w:val="auto"/>
        </w:rPr>
      </w:pPr>
    </w:p>
    <w:p>
      <w:pPr>
        <w:ind w:left="300" w:right="299"/>
        <w:spacing w:after="0" w:line="255" w:lineRule="auto"/>
        <w:rPr>
          <w:sz w:val="20"/>
          <w:szCs w:val="20"/>
          <w:color w:val="auto"/>
        </w:rPr>
      </w:pPr>
      <w:r>
        <w:rPr>
          <w:rFonts w:ascii="Arial" w:cs="Arial" w:eastAsia="Arial" w:hAnsi="Arial"/>
          <w:sz w:val="18"/>
          <w:szCs w:val="18"/>
          <w:color w:val="auto"/>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spacing w:after="0" w:line="84" w:lineRule="exact"/>
        <w:rPr>
          <w:sz w:val="20"/>
          <w:szCs w:val="20"/>
          <w:color w:val="auto"/>
        </w:rPr>
      </w:pPr>
    </w:p>
    <w:p>
      <w:pPr>
        <w:ind w:left="300" w:right="659"/>
        <w:spacing w:after="0" w:line="277" w:lineRule="auto"/>
        <w:rPr>
          <w:sz w:val="20"/>
          <w:szCs w:val="20"/>
          <w:color w:val="auto"/>
        </w:rPr>
      </w:pPr>
      <w:r>
        <w:rPr>
          <w:rFonts w:ascii="Arial" w:cs="Arial" w:eastAsia="Arial" w:hAnsi="Arial"/>
          <w:sz w:val="18"/>
          <w:szCs w:val="18"/>
          <w:color w:val="auto"/>
        </w:rPr>
        <w:t>We will describe in the applicable prospectus supplement the terms of the series of debt securities being offered, including:</w:t>
      </w:r>
    </w:p>
    <w:p>
      <w:pPr>
        <w:spacing w:after="0" w:line="62" w:lineRule="exact"/>
        <w:rPr>
          <w:sz w:val="20"/>
          <w:szCs w:val="20"/>
          <w:color w:val="auto"/>
        </w:rPr>
      </w:pPr>
    </w:p>
    <w:p>
      <w:pPr>
        <w:ind w:left="1020" w:hanging="368"/>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title of the series of debt securities;</w:t>
      </w:r>
    </w:p>
    <w:p>
      <w:pPr>
        <w:spacing w:after="0" w:line="117" w:lineRule="exact"/>
        <w:rPr>
          <w:rFonts w:ascii="Arial" w:cs="Arial" w:eastAsia="Arial" w:hAnsi="Arial"/>
          <w:sz w:val="18"/>
          <w:szCs w:val="18"/>
          <w:color w:val="auto"/>
        </w:rPr>
      </w:pPr>
    </w:p>
    <w:p>
      <w:pPr>
        <w:ind w:left="1020" w:hanging="368"/>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limit upon the aggregate principal amount that may be issued;</w:t>
      </w:r>
    </w:p>
    <w:p>
      <w:pPr>
        <w:spacing w:after="0" w:line="117" w:lineRule="exact"/>
        <w:rPr>
          <w:rFonts w:ascii="Arial" w:cs="Arial" w:eastAsia="Arial" w:hAnsi="Arial"/>
          <w:sz w:val="18"/>
          <w:szCs w:val="18"/>
          <w:color w:val="auto"/>
        </w:rPr>
      </w:pPr>
    </w:p>
    <w:p>
      <w:pPr>
        <w:ind w:left="1020" w:hanging="368"/>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maturity date or dates;</w:t>
      </w:r>
    </w:p>
    <w:p>
      <w:pPr>
        <w:spacing w:after="0" w:line="117" w:lineRule="exact"/>
        <w:rPr>
          <w:rFonts w:ascii="Arial" w:cs="Arial" w:eastAsia="Arial" w:hAnsi="Arial"/>
          <w:sz w:val="18"/>
          <w:szCs w:val="18"/>
          <w:color w:val="auto"/>
        </w:rPr>
      </w:pPr>
    </w:p>
    <w:p>
      <w:pPr>
        <w:ind w:left="1020" w:hanging="368"/>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form of the debt securities of the series;</w:t>
      </w:r>
    </w:p>
    <w:p>
      <w:pPr>
        <w:spacing w:after="0" w:line="117" w:lineRule="exact"/>
        <w:rPr>
          <w:rFonts w:ascii="Arial" w:cs="Arial" w:eastAsia="Arial" w:hAnsi="Arial"/>
          <w:sz w:val="18"/>
          <w:szCs w:val="18"/>
          <w:color w:val="auto"/>
        </w:rPr>
      </w:pPr>
    </w:p>
    <w:p>
      <w:pPr>
        <w:ind w:left="1020" w:hanging="368"/>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applicability of any guarantees;</w:t>
      </w:r>
    </w:p>
    <w:p>
      <w:pPr>
        <w:spacing w:after="0" w:line="117" w:lineRule="exact"/>
        <w:rPr>
          <w:rFonts w:ascii="Arial" w:cs="Arial" w:eastAsia="Arial" w:hAnsi="Arial"/>
          <w:sz w:val="18"/>
          <w:szCs w:val="18"/>
          <w:color w:val="auto"/>
        </w:rPr>
      </w:pPr>
    </w:p>
    <w:p>
      <w:pPr>
        <w:ind w:left="1020" w:hanging="368"/>
        <w:spacing w:after="0"/>
        <w:tabs>
          <w:tab w:leader="none" w:pos="10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whether or not the debt securities will be secured or unsecured, and the terms of any secured debt;</w:t>
      </w:r>
    </w:p>
    <w:p>
      <w:pPr>
        <w:spacing w:after="0" w:line="128" w:lineRule="exact"/>
        <w:rPr>
          <w:rFonts w:ascii="Arial" w:cs="Arial" w:eastAsia="Arial" w:hAnsi="Arial"/>
          <w:sz w:val="17"/>
          <w:szCs w:val="17"/>
          <w:color w:val="auto"/>
        </w:rPr>
      </w:pPr>
    </w:p>
    <w:p>
      <w:pPr>
        <w:ind w:left="1020" w:right="959" w:hanging="368"/>
        <w:spacing w:after="0" w:line="277"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whether the debt securities rank as senior debt, senior subordinated debt, subordinated debt or any combination thereof, and the terms of any subordination;</w:t>
      </w:r>
    </w:p>
    <w:p>
      <w:pPr>
        <w:spacing w:after="0" w:line="62" w:lineRule="exact"/>
        <w:rPr>
          <w:rFonts w:ascii="Arial" w:cs="Arial" w:eastAsia="Arial" w:hAnsi="Arial"/>
          <w:sz w:val="18"/>
          <w:szCs w:val="18"/>
          <w:color w:val="auto"/>
        </w:rPr>
      </w:pPr>
    </w:p>
    <w:p>
      <w:pPr>
        <w:ind w:left="1020" w:right="719" w:hanging="368"/>
        <w:spacing w:after="0" w:line="275" w:lineRule="auto"/>
        <w:tabs>
          <w:tab w:leader="none" w:pos="10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1" w:name="page42"/>
    <w:bookmarkEnd w:id="41"/>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1020" w:right="339" w:hanging="368"/>
        <w:spacing w:after="0" w:line="263"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48" w:lineRule="exact"/>
        <w:rPr>
          <w:rFonts w:ascii="Arial" w:cs="Arial" w:eastAsia="Arial" w:hAnsi="Arial"/>
          <w:sz w:val="18"/>
          <w:szCs w:val="18"/>
          <w:color w:val="auto"/>
        </w:rPr>
      </w:pPr>
    </w:p>
    <w:p>
      <w:pPr>
        <w:ind w:left="1020" w:hanging="368"/>
        <w:spacing w:after="0"/>
        <w:tabs>
          <w:tab w:leader="none" w:pos="10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our right, if any, to defer payment of interest and the maximum length of any such deferral period;</w:t>
      </w:r>
    </w:p>
    <w:p>
      <w:pPr>
        <w:spacing w:after="0" w:line="88" w:lineRule="exact"/>
        <w:rPr>
          <w:rFonts w:ascii="Arial" w:cs="Arial" w:eastAsia="Arial" w:hAnsi="Arial"/>
          <w:sz w:val="17"/>
          <w:szCs w:val="17"/>
          <w:color w:val="auto"/>
        </w:rPr>
      </w:pPr>
    </w:p>
    <w:p>
      <w:pPr>
        <w:ind w:left="1020" w:right="339" w:hanging="368"/>
        <w:spacing w:after="0" w:line="263"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spacing w:after="0" w:line="35" w:lineRule="exact"/>
        <w:rPr>
          <w:rFonts w:ascii="Arial" w:cs="Arial" w:eastAsia="Arial" w:hAnsi="Arial"/>
          <w:sz w:val="18"/>
          <w:szCs w:val="18"/>
          <w:color w:val="auto"/>
        </w:rPr>
      </w:pPr>
    </w:p>
    <w:p>
      <w:pPr>
        <w:ind w:left="1020" w:right="399" w:hanging="368"/>
        <w:spacing w:after="0" w:line="259"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51" w:lineRule="exact"/>
        <w:rPr>
          <w:rFonts w:ascii="Arial" w:cs="Arial" w:eastAsia="Arial" w:hAnsi="Arial"/>
          <w:sz w:val="18"/>
          <w:szCs w:val="18"/>
          <w:color w:val="auto"/>
        </w:rPr>
      </w:pPr>
    </w:p>
    <w:p>
      <w:pPr>
        <w:ind w:left="1020" w:right="759" w:hanging="368"/>
        <w:spacing w:after="0" w:line="277"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denominations in which we will issue the series of debt securities, if other than denominations of $1,000 and any integral multiple thereof;</w:t>
      </w:r>
    </w:p>
    <w:p>
      <w:pPr>
        <w:spacing w:after="0" w:line="21" w:lineRule="exact"/>
        <w:rPr>
          <w:rFonts w:ascii="Arial" w:cs="Arial" w:eastAsia="Arial" w:hAnsi="Arial"/>
          <w:sz w:val="18"/>
          <w:szCs w:val="18"/>
          <w:color w:val="auto"/>
        </w:rPr>
      </w:pPr>
    </w:p>
    <w:p>
      <w:pPr>
        <w:ind w:left="1020" w:right="359" w:hanging="368"/>
        <w:spacing w:after="0" w:line="286" w:lineRule="auto"/>
        <w:tabs>
          <w:tab w:leader="none" w:pos="10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16" w:lineRule="exact"/>
        <w:rPr>
          <w:rFonts w:ascii="Arial" w:cs="Arial" w:eastAsia="Arial" w:hAnsi="Arial"/>
          <w:sz w:val="17"/>
          <w:szCs w:val="17"/>
          <w:color w:val="auto"/>
        </w:rPr>
      </w:pPr>
    </w:p>
    <w:p>
      <w:pPr>
        <w:ind w:left="1020" w:right="339" w:hanging="368"/>
        <w:spacing w:after="0" w:line="259"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whether the debt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51" w:lineRule="exact"/>
        <w:rPr>
          <w:rFonts w:ascii="Arial" w:cs="Arial" w:eastAsia="Arial" w:hAnsi="Arial"/>
          <w:sz w:val="18"/>
          <w:szCs w:val="18"/>
          <w:color w:val="auto"/>
        </w:rPr>
      </w:pPr>
    </w:p>
    <w:p>
      <w:pPr>
        <w:ind w:left="1020" w:right="319" w:hanging="368"/>
        <w:spacing w:after="0" w:line="296" w:lineRule="auto"/>
        <w:tabs>
          <w:tab w:leader="none" w:pos="10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12" w:lineRule="exact"/>
        <w:rPr>
          <w:rFonts w:ascii="Arial" w:cs="Arial" w:eastAsia="Arial" w:hAnsi="Arial"/>
          <w:sz w:val="16"/>
          <w:szCs w:val="16"/>
          <w:color w:val="auto"/>
        </w:rPr>
      </w:pPr>
    </w:p>
    <w:p>
      <w:pPr>
        <w:ind w:left="1020" w:right="399" w:hanging="368"/>
        <w:spacing w:after="0" w:line="306" w:lineRule="auto"/>
        <w:tabs>
          <w:tab w:leader="none" w:pos="10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if other than the full principal amount thereof, the portion of the principal amount of debt securities of the series which shall be payable upon declaration of acceleration of the maturity thereof;</w:t>
      </w:r>
    </w:p>
    <w:p>
      <w:pPr>
        <w:spacing w:after="0" w:line="1" w:lineRule="exact"/>
        <w:rPr>
          <w:rFonts w:ascii="Arial" w:cs="Arial" w:eastAsia="Arial" w:hAnsi="Arial"/>
          <w:sz w:val="17"/>
          <w:szCs w:val="17"/>
          <w:color w:val="auto"/>
        </w:rPr>
      </w:pPr>
    </w:p>
    <w:p>
      <w:pPr>
        <w:ind w:left="1020" w:right="319" w:hanging="368"/>
        <w:spacing w:after="0" w:line="277"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additions to or changes in the covenants applicable to the particular debt securities being issued, including, among others, the consolidation, merger or sale covenant;</w:t>
      </w:r>
    </w:p>
    <w:p>
      <w:pPr>
        <w:spacing w:after="0" w:line="35" w:lineRule="exact"/>
        <w:rPr>
          <w:rFonts w:ascii="Arial" w:cs="Arial" w:eastAsia="Arial" w:hAnsi="Arial"/>
          <w:sz w:val="18"/>
          <w:szCs w:val="18"/>
          <w:color w:val="auto"/>
        </w:rPr>
      </w:pPr>
    </w:p>
    <w:p>
      <w:pPr>
        <w:jc w:val="both"/>
        <w:ind w:left="1020" w:right="359" w:hanging="368"/>
        <w:spacing w:after="0" w:line="263"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additions to or changes in the events of default with respect to the securities and any change in the right of the trustee or the holders to declare the principal, premium, if any, and interest, if any, with respect to such securities to be due and payable;</w:t>
      </w:r>
    </w:p>
    <w:p>
      <w:pPr>
        <w:spacing w:after="0" w:line="35" w:lineRule="exact"/>
        <w:rPr>
          <w:rFonts w:ascii="Arial" w:cs="Arial" w:eastAsia="Arial" w:hAnsi="Arial"/>
          <w:sz w:val="18"/>
          <w:szCs w:val="18"/>
          <w:color w:val="auto"/>
        </w:rPr>
      </w:pPr>
    </w:p>
    <w:p>
      <w:pPr>
        <w:ind w:left="1020" w:right="999" w:hanging="368"/>
        <w:spacing w:after="0" w:line="277"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additions to or changes in or deletions of the provisions relating to covenant defeasance and legal defeasance;</w:t>
      </w:r>
    </w:p>
    <w:p>
      <w:pPr>
        <w:spacing w:after="0" w:line="21" w:lineRule="exact"/>
        <w:rPr>
          <w:rFonts w:ascii="Arial" w:cs="Arial" w:eastAsia="Arial" w:hAnsi="Arial"/>
          <w:sz w:val="18"/>
          <w:szCs w:val="18"/>
          <w:color w:val="auto"/>
        </w:rPr>
      </w:pPr>
    </w:p>
    <w:p>
      <w:pPr>
        <w:ind w:left="1020" w:hanging="368"/>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additions to or changes in the provisions relating to satisfaction and discharge of the indenture;</w:t>
      </w:r>
    </w:p>
    <w:p>
      <w:pPr>
        <w:spacing w:after="0" w:line="90" w:lineRule="exact"/>
        <w:rPr>
          <w:rFonts w:ascii="Arial" w:cs="Arial" w:eastAsia="Arial" w:hAnsi="Arial"/>
          <w:sz w:val="18"/>
          <w:szCs w:val="18"/>
          <w:color w:val="auto"/>
        </w:rPr>
      </w:pPr>
    </w:p>
    <w:p>
      <w:pPr>
        <w:ind w:left="1020" w:right="879" w:hanging="368"/>
        <w:spacing w:after="0" w:line="277"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additions to or changes in the provisions relating to the modification of the indenture both with and without the consent of holders of debt securities issued under the indenture;</w:t>
      </w:r>
    </w:p>
    <w:p>
      <w:pPr>
        <w:spacing w:after="0" w:line="21" w:lineRule="exact"/>
        <w:rPr>
          <w:rFonts w:ascii="Arial" w:cs="Arial" w:eastAsia="Arial" w:hAnsi="Arial"/>
          <w:sz w:val="18"/>
          <w:szCs w:val="18"/>
          <w:color w:val="auto"/>
        </w:rPr>
      </w:pPr>
    </w:p>
    <w:p>
      <w:pPr>
        <w:ind w:left="1020" w:right="619" w:hanging="368"/>
        <w:spacing w:after="0" w:line="277"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currency of payment of debt securities if other than U.S. dollars and the manner of determining the equivalent amount in U.S. dollars;</w:t>
      </w:r>
    </w:p>
    <w:p>
      <w:pPr>
        <w:spacing w:after="0" w:line="21" w:lineRule="exact"/>
        <w:rPr>
          <w:rFonts w:ascii="Arial" w:cs="Arial" w:eastAsia="Arial" w:hAnsi="Arial"/>
          <w:sz w:val="18"/>
          <w:szCs w:val="18"/>
          <w:color w:val="auto"/>
        </w:rPr>
      </w:pPr>
    </w:p>
    <w:p>
      <w:pPr>
        <w:ind w:left="1020" w:right="499" w:hanging="368"/>
        <w:spacing w:after="0" w:line="277"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whether interest will be payable in cash or additional debt securities at our or the holders’ option and the terms and conditions upon which the election may be made;</w:t>
      </w:r>
    </w:p>
    <w:p>
      <w:pPr>
        <w:spacing w:after="0" w:line="35" w:lineRule="exact"/>
        <w:rPr>
          <w:rFonts w:ascii="Arial" w:cs="Arial" w:eastAsia="Arial" w:hAnsi="Arial"/>
          <w:sz w:val="18"/>
          <w:szCs w:val="18"/>
          <w:color w:val="auto"/>
        </w:rPr>
      </w:pPr>
    </w:p>
    <w:p>
      <w:pPr>
        <w:jc w:val="both"/>
        <w:ind w:left="1020" w:right="879" w:hanging="368"/>
        <w:spacing w:after="0" w:line="263"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35" w:lineRule="exact"/>
        <w:rPr>
          <w:rFonts w:ascii="Arial" w:cs="Arial" w:eastAsia="Arial" w:hAnsi="Arial"/>
          <w:sz w:val="18"/>
          <w:szCs w:val="18"/>
          <w:color w:val="auto"/>
        </w:rPr>
      </w:pPr>
    </w:p>
    <w:p>
      <w:pPr>
        <w:ind w:left="1020" w:hanging="368"/>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restrictions on transfer, sale or assignment of the debt securities of the series; and</w:t>
      </w:r>
    </w:p>
    <w:p>
      <w:pPr>
        <w:spacing w:after="0" w:line="76" w:lineRule="exact"/>
        <w:rPr>
          <w:rFonts w:ascii="Arial" w:cs="Arial" w:eastAsia="Arial" w:hAnsi="Arial"/>
          <w:sz w:val="18"/>
          <w:szCs w:val="18"/>
          <w:color w:val="auto"/>
        </w:rPr>
      </w:pPr>
    </w:p>
    <w:p>
      <w:pPr>
        <w:ind w:left="1020" w:right="439" w:hanging="368"/>
        <w:spacing w:after="0" w:line="263"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2" w:name="page43"/>
    <w:bookmarkEnd w:id="42"/>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Conversion or Exchange Rights</w:t>
      </w:r>
    </w:p>
    <w:p>
      <w:pPr>
        <w:spacing w:after="0" w:line="121" w:lineRule="exact"/>
        <w:rPr>
          <w:sz w:val="20"/>
          <w:szCs w:val="20"/>
          <w:color w:val="auto"/>
        </w:rPr>
      </w:pPr>
    </w:p>
    <w:p>
      <w:pPr>
        <w:ind w:left="300" w:right="339"/>
        <w:spacing w:after="0" w:line="296" w:lineRule="auto"/>
        <w:rPr>
          <w:sz w:val="20"/>
          <w:szCs w:val="20"/>
          <w:color w:val="auto"/>
        </w:rPr>
      </w:pPr>
      <w:r>
        <w:rPr>
          <w:rFonts w:ascii="Arial" w:cs="Arial" w:eastAsia="Arial" w:hAnsi="Arial"/>
          <w:sz w:val="16"/>
          <w:szCs w:val="16"/>
          <w:color w:val="auto"/>
        </w:rPr>
        <w:t>We will set forth in the applicable prospectus supplement the terms on which a series of debt securities may be convertible into or exchangeable for our Class 2 common stock or our other securities. We will include provisions as to settlement upon conversion or exchange and whether conversion or exchange is mandatory, at the option of the holder or at our option. We may include provisions pursuant to which the number of shares of our Class 2 common stock or our other securities that the holders of the series of debt securities receive would be subject to adjustment.</w:t>
      </w:r>
    </w:p>
    <w:p>
      <w:pPr>
        <w:spacing w:after="0" w:line="31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Consolidation, Merger or Sale</w:t>
      </w:r>
    </w:p>
    <w:p>
      <w:pPr>
        <w:spacing w:after="0" w:line="121" w:lineRule="exact"/>
        <w:rPr>
          <w:sz w:val="20"/>
          <w:szCs w:val="20"/>
          <w:color w:val="auto"/>
        </w:rPr>
      </w:pPr>
    </w:p>
    <w:p>
      <w:pPr>
        <w:ind w:left="300" w:right="319"/>
        <w:spacing w:after="0" w:line="257" w:lineRule="auto"/>
        <w:rPr>
          <w:sz w:val="20"/>
          <w:szCs w:val="20"/>
          <w:color w:val="auto"/>
        </w:rPr>
      </w:pPr>
      <w:r>
        <w:rPr>
          <w:rFonts w:ascii="Arial" w:cs="Arial" w:eastAsia="Arial" w:hAnsi="Arial"/>
          <w:sz w:val="18"/>
          <w:szCs w:val="18"/>
          <w:color w:val="auto"/>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Events of Default under the Indenture</w:t>
      </w:r>
    </w:p>
    <w:p>
      <w:pPr>
        <w:spacing w:after="0" w:line="121" w:lineRule="exact"/>
        <w:rPr>
          <w:sz w:val="20"/>
          <w:szCs w:val="20"/>
          <w:color w:val="auto"/>
        </w:rPr>
      </w:pPr>
    </w:p>
    <w:p>
      <w:pPr>
        <w:ind w:left="300" w:right="559"/>
        <w:spacing w:after="0" w:line="342" w:lineRule="auto"/>
        <w:rPr>
          <w:sz w:val="20"/>
          <w:szCs w:val="20"/>
          <w:color w:val="auto"/>
        </w:rPr>
      </w:pPr>
      <w:r>
        <w:rPr>
          <w:rFonts w:ascii="Arial" w:cs="Arial" w:eastAsia="Arial" w:hAnsi="Arial"/>
          <w:sz w:val="16"/>
          <w:szCs w:val="16"/>
          <w:color w:val="auto"/>
        </w:rPr>
        <w:t>Unless we provide otherwise in the prospectus supplement applicable to a particular series of debt securities, the following are events of default under the indenture with respect to any series of debt securities that we may issue:</w:t>
      </w:r>
    </w:p>
    <w:p>
      <w:pPr>
        <w:spacing w:after="0" w:line="16" w:lineRule="exact"/>
        <w:rPr>
          <w:sz w:val="20"/>
          <w:szCs w:val="20"/>
          <w:color w:val="auto"/>
        </w:rPr>
      </w:pPr>
    </w:p>
    <w:p>
      <w:pPr>
        <w:ind w:left="1020" w:right="639" w:hanging="368"/>
        <w:spacing w:after="0" w:line="301" w:lineRule="auto"/>
        <w:tabs>
          <w:tab w:leader="none" w:pos="10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spacing w:after="0" w:line="49" w:lineRule="exact"/>
        <w:rPr>
          <w:rFonts w:ascii="Arial" w:cs="Arial" w:eastAsia="Arial" w:hAnsi="Arial"/>
          <w:sz w:val="16"/>
          <w:szCs w:val="16"/>
          <w:color w:val="auto"/>
        </w:rPr>
      </w:pPr>
    </w:p>
    <w:p>
      <w:pPr>
        <w:ind w:left="1020" w:right="319" w:hanging="368"/>
        <w:spacing w:after="0" w:line="255"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spacing w:after="0" w:line="84" w:lineRule="exact"/>
        <w:rPr>
          <w:rFonts w:ascii="Arial" w:cs="Arial" w:eastAsia="Arial" w:hAnsi="Arial"/>
          <w:sz w:val="18"/>
          <w:szCs w:val="18"/>
          <w:color w:val="auto"/>
        </w:rPr>
      </w:pPr>
    </w:p>
    <w:p>
      <w:pPr>
        <w:ind w:left="1020" w:right="579" w:hanging="368"/>
        <w:spacing w:after="0" w:line="296" w:lineRule="auto"/>
        <w:tabs>
          <w:tab w:leader="none" w:pos="10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spacing w:after="0" w:line="53" w:lineRule="exact"/>
        <w:rPr>
          <w:rFonts w:ascii="Arial" w:cs="Arial" w:eastAsia="Arial" w:hAnsi="Arial"/>
          <w:sz w:val="16"/>
          <w:szCs w:val="16"/>
          <w:color w:val="auto"/>
        </w:rPr>
      </w:pPr>
    </w:p>
    <w:p>
      <w:pPr>
        <w:ind w:left="1020" w:hanging="368"/>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specified events of bankruptcy, insolvency or reorganization occur.</w:t>
      </w:r>
    </w:p>
    <w:p>
      <w:pPr>
        <w:spacing w:after="0" w:line="117" w:lineRule="exact"/>
        <w:rPr>
          <w:sz w:val="20"/>
          <w:szCs w:val="20"/>
          <w:color w:val="auto"/>
        </w:rPr>
      </w:pPr>
    </w:p>
    <w:p>
      <w:pPr>
        <w:ind w:left="300" w:right="339"/>
        <w:spacing w:after="0" w:line="272" w:lineRule="auto"/>
        <w:rPr>
          <w:sz w:val="20"/>
          <w:szCs w:val="20"/>
          <w:color w:val="auto"/>
        </w:rPr>
      </w:pPr>
      <w:r>
        <w:rPr>
          <w:rFonts w:ascii="Arial" w:cs="Arial" w:eastAsia="Arial" w:hAnsi="Arial"/>
          <w:sz w:val="17"/>
          <w:szCs w:val="17"/>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spacing w:after="0" w:line="69" w:lineRule="exact"/>
        <w:rPr>
          <w:sz w:val="20"/>
          <w:szCs w:val="20"/>
          <w:color w:val="auto"/>
        </w:rPr>
      </w:pPr>
    </w:p>
    <w:p>
      <w:pPr>
        <w:ind w:left="300" w:right="399"/>
        <w:spacing w:after="0" w:line="279" w:lineRule="auto"/>
        <w:rPr>
          <w:sz w:val="20"/>
          <w:szCs w:val="20"/>
          <w:color w:val="auto"/>
        </w:rPr>
      </w:pPr>
      <w:r>
        <w:rPr>
          <w:rFonts w:ascii="Arial" w:cs="Arial" w:eastAsia="Arial" w:hAnsi="Arial"/>
          <w:sz w:val="17"/>
          <w:szCs w:val="17"/>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63" w:lineRule="exact"/>
        <w:rPr>
          <w:sz w:val="20"/>
          <w:szCs w:val="20"/>
          <w:color w:val="auto"/>
        </w:rPr>
      </w:pPr>
    </w:p>
    <w:p>
      <w:pPr>
        <w:ind w:left="300" w:right="659"/>
        <w:spacing w:after="0" w:line="311" w:lineRule="auto"/>
        <w:rPr>
          <w:sz w:val="20"/>
          <w:szCs w:val="20"/>
          <w:color w:val="auto"/>
        </w:rPr>
      </w:pPr>
      <w:r>
        <w:rPr>
          <w:rFonts w:ascii="Arial" w:cs="Arial" w:eastAsia="Arial" w:hAnsi="Arial"/>
          <w:sz w:val="16"/>
          <w:szCs w:val="16"/>
          <w:color w:val="auto"/>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3" w:name="page44"/>
    <w:bookmarkEnd w:id="43"/>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299"/>
        <w:spacing w:after="0" w:line="259" w:lineRule="auto"/>
        <w:rPr>
          <w:sz w:val="20"/>
          <w:szCs w:val="20"/>
          <w:color w:val="auto"/>
        </w:rPr>
      </w:pPr>
      <w:r>
        <w:rPr>
          <w:rFonts w:ascii="Arial" w:cs="Arial" w:eastAsia="Arial" w:hAnsi="Arial"/>
          <w:sz w:val="18"/>
          <w:szCs w:val="18"/>
          <w:color w:val="auto"/>
        </w:rPr>
        <w:t>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79" w:lineRule="exact"/>
        <w:rPr>
          <w:sz w:val="20"/>
          <w:szCs w:val="20"/>
          <w:color w:val="auto"/>
        </w:rPr>
      </w:pPr>
    </w:p>
    <w:p>
      <w:pPr>
        <w:ind w:left="1020" w:hanging="368"/>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direction so given by the holder is not in conflict with any law or the applicable indenture; and</w:t>
      </w:r>
    </w:p>
    <w:p>
      <w:pPr>
        <w:spacing w:after="0" w:line="117" w:lineRule="exact"/>
        <w:rPr>
          <w:rFonts w:ascii="Arial" w:cs="Arial" w:eastAsia="Arial" w:hAnsi="Arial"/>
          <w:sz w:val="18"/>
          <w:szCs w:val="18"/>
          <w:color w:val="auto"/>
        </w:rPr>
      </w:pPr>
    </w:p>
    <w:p>
      <w:pPr>
        <w:ind w:left="1020" w:right="319" w:hanging="368"/>
        <w:spacing w:after="0" w:line="342" w:lineRule="auto"/>
        <w:tabs>
          <w:tab w:leader="none" w:pos="10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subject to its duties under the Trust Indenture Act, the trustee need not take any action that might involve it in personal liability or might be unduly prejudicial to the holders not involved in the proceeding.</w:t>
      </w:r>
    </w:p>
    <w:p>
      <w:pPr>
        <w:spacing w:after="0" w:line="16" w:lineRule="exact"/>
        <w:rPr>
          <w:sz w:val="20"/>
          <w:szCs w:val="20"/>
          <w:color w:val="auto"/>
        </w:rPr>
      </w:pPr>
    </w:p>
    <w:p>
      <w:pPr>
        <w:ind w:left="300" w:right="639"/>
        <w:spacing w:after="0" w:line="277" w:lineRule="auto"/>
        <w:rPr>
          <w:sz w:val="20"/>
          <w:szCs w:val="20"/>
          <w:color w:val="auto"/>
        </w:rPr>
      </w:pPr>
      <w:r>
        <w:rPr>
          <w:rFonts w:ascii="Arial" w:cs="Arial" w:eastAsia="Arial" w:hAnsi="Arial"/>
          <w:sz w:val="18"/>
          <w:szCs w:val="18"/>
          <w:color w:val="auto"/>
        </w:rPr>
        <w:t>A holder of the debt securities of any series will have the right to institute a proceeding under the indenture or to appoint a receiver or trustee, or to seek other remedies only if:</w:t>
      </w:r>
    </w:p>
    <w:p>
      <w:pPr>
        <w:spacing w:after="0" w:line="62" w:lineRule="exact"/>
        <w:rPr>
          <w:sz w:val="20"/>
          <w:szCs w:val="20"/>
          <w:color w:val="auto"/>
        </w:rPr>
      </w:pPr>
    </w:p>
    <w:p>
      <w:pPr>
        <w:ind w:left="1020" w:hanging="368"/>
        <w:spacing w:after="0"/>
        <w:tabs>
          <w:tab w:leader="none" w:pos="10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holder has given written notice to the trustee of a continuing event of default with respect to that series;</w:t>
      </w:r>
    </w:p>
    <w:p>
      <w:pPr>
        <w:spacing w:after="0" w:line="140" w:lineRule="exact"/>
        <w:rPr>
          <w:rFonts w:ascii="Arial" w:cs="Arial" w:eastAsia="Arial" w:hAnsi="Arial"/>
          <w:sz w:val="16"/>
          <w:szCs w:val="16"/>
          <w:color w:val="auto"/>
        </w:rPr>
      </w:pPr>
    </w:p>
    <w:p>
      <w:pPr>
        <w:ind w:left="1020" w:right="399" w:hanging="368"/>
        <w:spacing w:after="0" w:line="311" w:lineRule="auto"/>
        <w:tabs>
          <w:tab w:leader="none" w:pos="10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holders of at least 25% in aggregate principal amount of the outstanding debt securities of that series have made written request, such holders have offered to the trustee indemnity satisfactory to it against the costs, expenses and liabilities to be incurred by the trustee in compliance with the request; and</w:t>
      </w:r>
    </w:p>
    <w:p>
      <w:pPr>
        <w:spacing w:after="0" w:line="40" w:lineRule="exact"/>
        <w:rPr>
          <w:rFonts w:ascii="Arial" w:cs="Arial" w:eastAsia="Arial" w:hAnsi="Arial"/>
          <w:sz w:val="16"/>
          <w:szCs w:val="16"/>
          <w:color w:val="auto"/>
        </w:rPr>
      </w:pPr>
    </w:p>
    <w:p>
      <w:pPr>
        <w:ind w:left="1020" w:right="659" w:hanging="368"/>
        <w:spacing w:after="0" w:line="263"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76" w:lineRule="exact"/>
        <w:rPr>
          <w:sz w:val="20"/>
          <w:szCs w:val="20"/>
          <w:color w:val="auto"/>
        </w:rPr>
      </w:pPr>
    </w:p>
    <w:p>
      <w:pPr>
        <w:ind w:left="300" w:right="559"/>
        <w:spacing w:after="0" w:line="277" w:lineRule="auto"/>
        <w:rPr>
          <w:sz w:val="20"/>
          <w:szCs w:val="20"/>
          <w:color w:val="auto"/>
        </w:rPr>
      </w:pPr>
      <w:r>
        <w:rPr>
          <w:rFonts w:ascii="Arial" w:cs="Arial" w:eastAsia="Arial" w:hAnsi="Arial"/>
          <w:sz w:val="18"/>
          <w:szCs w:val="18"/>
          <w:color w:val="auto"/>
        </w:rPr>
        <w:t>These limitations do not apply to a suit instituted by a holder of debt securities if we default in the payment of the principal, premium, if any, or interest on, the debt securities.</w:t>
      </w:r>
    </w:p>
    <w:p>
      <w:pPr>
        <w:spacing w:after="0" w:line="62" w:lineRule="exact"/>
        <w:rPr>
          <w:sz w:val="20"/>
          <w:szCs w:val="20"/>
          <w:color w:val="auto"/>
        </w:rPr>
      </w:pPr>
    </w:p>
    <w:p>
      <w:pPr>
        <w:ind w:left="300" w:right="859"/>
        <w:spacing w:after="0" w:line="277" w:lineRule="auto"/>
        <w:rPr>
          <w:sz w:val="20"/>
          <w:szCs w:val="20"/>
          <w:color w:val="auto"/>
        </w:rPr>
      </w:pPr>
      <w:r>
        <w:rPr>
          <w:rFonts w:ascii="Arial" w:cs="Arial" w:eastAsia="Arial" w:hAnsi="Arial"/>
          <w:sz w:val="18"/>
          <w:szCs w:val="18"/>
          <w:color w:val="auto"/>
        </w:rPr>
        <w:t>We will periodically file statements with the trustee regarding our compliance with specified covenants in the indenture.</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Modification of Indenture; Waiver</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We and the trustee may change an indenture without the consent of any holders with respect to specific matters:</w:t>
      </w:r>
    </w:p>
    <w:p>
      <w:pPr>
        <w:spacing w:after="0" w:line="140" w:lineRule="exact"/>
        <w:rPr>
          <w:sz w:val="20"/>
          <w:szCs w:val="20"/>
          <w:color w:val="auto"/>
        </w:rPr>
      </w:pPr>
    </w:p>
    <w:p>
      <w:pPr>
        <w:ind w:left="1020" w:hanging="368"/>
        <w:spacing w:after="0"/>
        <w:tabs>
          <w:tab w:leader="none" w:pos="10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to cure any ambiguity, defect or inconsistency in the indenture or in the debt securities of any series;</w:t>
      </w:r>
    </w:p>
    <w:p>
      <w:pPr>
        <w:spacing w:after="0" w:line="128" w:lineRule="exact"/>
        <w:rPr>
          <w:rFonts w:ascii="Arial" w:cs="Arial" w:eastAsia="Arial" w:hAnsi="Arial"/>
          <w:sz w:val="17"/>
          <w:szCs w:val="17"/>
          <w:color w:val="auto"/>
        </w:rPr>
      </w:pPr>
    </w:p>
    <w:p>
      <w:pPr>
        <w:ind w:left="1020" w:right="819" w:hanging="368"/>
        <w:spacing w:after="0" w:line="277"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comply with the provisions described above under the heading “Description of Debt Securities— Consolidation, Merger or Sale;”</w:t>
      </w:r>
    </w:p>
    <w:p>
      <w:pPr>
        <w:spacing w:after="0" w:line="62" w:lineRule="exact"/>
        <w:rPr>
          <w:rFonts w:ascii="Arial" w:cs="Arial" w:eastAsia="Arial" w:hAnsi="Arial"/>
          <w:sz w:val="18"/>
          <w:szCs w:val="18"/>
          <w:color w:val="auto"/>
        </w:rPr>
      </w:pPr>
    </w:p>
    <w:p>
      <w:pPr>
        <w:ind w:left="1020" w:hanging="368"/>
        <w:spacing w:after="0"/>
        <w:tabs>
          <w:tab w:leader="none" w:pos="10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to provide for uncertificated debt securities in addition to or in place of certificated debt securities;</w:t>
      </w:r>
    </w:p>
    <w:p>
      <w:pPr>
        <w:spacing w:after="0" w:line="128" w:lineRule="exact"/>
        <w:rPr>
          <w:rFonts w:ascii="Arial" w:cs="Arial" w:eastAsia="Arial" w:hAnsi="Arial"/>
          <w:sz w:val="17"/>
          <w:szCs w:val="17"/>
          <w:color w:val="auto"/>
        </w:rPr>
      </w:pPr>
    </w:p>
    <w:p>
      <w:pPr>
        <w:ind w:left="1020" w:right="319" w:hanging="368"/>
        <w:spacing w:after="0" w:line="301" w:lineRule="auto"/>
        <w:tabs>
          <w:tab w:leader="none" w:pos="10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spacing w:after="0" w:line="49" w:lineRule="exact"/>
        <w:rPr>
          <w:rFonts w:ascii="Arial" w:cs="Arial" w:eastAsia="Arial" w:hAnsi="Arial"/>
          <w:sz w:val="16"/>
          <w:szCs w:val="16"/>
          <w:color w:val="auto"/>
        </w:rPr>
      </w:pPr>
    </w:p>
    <w:p>
      <w:pPr>
        <w:ind w:left="1020" w:right="659" w:hanging="368"/>
        <w:spacing w:after="0" w:line="342" w:lineRule="auto"/>
        <w:tabs>
          <w:tab w:leader="none" w:pos="10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to add to, delete from or revise the conditions, limitations, and restrictions on the authorized amount, terms, or purposes of issue, authentication and delivery of debt securities, as set forth in the indenture;</w:t>
      </w:r>
    </w:p>
    <w:p>
      <w:pPr>
        <w:spacing w:after="0" w:line="15" w:lineRule="exact"/>
        <w:rPr>
          <w:rFonts w:ascii="Arial" w:cs="Arial" w:eastAsia="Arial" w:hAnsi="Arial"/>
          <w:sz w:val="16"/>
          <w:szCs w:val="16"/>
          <w:color w:val="auto"/>
        </w:rPr>
      </w:pPr>
    </w:p>
    <w:p>
      <w:pPr>
        <w:ind w:left="1020" w:right="739" w:hanging="368"/>
        <w:spacing w:after="0" w:line="277"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interests of any holder of debt securities of any series in any material respect;</w:t>
      </w:r>
    </w:p>
    <w:p>
      <w:pPr>
        <w:spacing w:after="0" w:line="62" w:lineRule="exact"/>
        <w:rPr>
          <w:rFonts w:ascii="Arial" w:cs="Arial" w:eastAsia="Arial" w:hAnsi="Arial"/>
          <w:sz w:val="18"/>
          <w:szCs w:val="18"/>
          <w:color w:val="auto"/>
        </w:rPr>
      </w:pPr>
    </w:p>
    <w:p>
      <w:pPr>
        <w:ind w:left="1020" w:right="379" w:hanging="368"/>
        <w:spacing w:after="0" w:line="279" w:lineRule="auto"/>
        <w:tabs>
          <w:tab w:leader="none" w:pos="10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to provide for the issuance of and establish the form and terms and conditions of the debt securities of any series as provided above under the heading “Description of Debt Securities—General” to establish the form of any certifications required to be furnished pursuant to the terms of the indenture or any series of debt securities, or to add to the rights of the holders of any series of debt securities;</w:t>
      </w:r>
    </w:p>
    <w:p>
      <w:pPr>
        <w:spacing w:after="0" w:line="63" w:lineRule="exact"/>
        <w:rPr>
          <w:rFonts w:ascii="Arial" w:cs="Arial" w:eastAsia="Arial" w:hAnsi="Arial"/>
          <w:sz w:val="17"/>
          <w:szCs w:val="17"/>
          <w:color w:val="auto"/>
        </w:rPr>
      </w:pPr>
    </w:p>
    <w:p>
      <w:pPr>
        <w:ind w:left="1020" w:hanging="368"/>
        <w:spacing w:after="0"/>
        <w:tabs>
          <w:tab w:leader="none" w:pos="10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to evidence and provide for the acceptance of appointment under any indenture by a successor trustee; or</w:t>
      </w:r>
    </w:p>
    <w:p>
      <w:pPr>
        <w:spacing w:after="0" w:line="140" w:lineRule="exact"/>
        <w:rPr>
          <w:rFonts w:ascii="Arial" w:cs="Arial" w:eastAsia="Arial" w:hAnsi="Arial"/>
          <w:sz w:val="16"/>
          <w:szCs w:val="16"/>
          <w:color w:val="auto"/>
        </w:rPr>
      </w:pPr>
    </w:p>
    <w:p>
      <w:pPr>
        <w:ind w:left="1020" w:right="519" w:hanging="368"/>
        <w:spacing w:after="0" w:line="277"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comply with any requirements of the SEC in connection with the qualification of any indenture under the Trust Indenture Act.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4" w:name="page45"/>
    <w:bookmarkEnd w:id="44"/>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359"/>
        <w:spacing w:after="0" w:line="275" w:lineRule="auto"/>
        <w:rPr>
          <w:sz w:val="20"/>
          <w:szCs w:val="20"/>
          <w:color w:val="auto"/>
        </w:rPr>
      </w:pPr>
      <w:r>
        <w:rPr>
          <w:rFonts w:ascii="Arial" w:cs="Arial" w:eastAsia="Arial" w:hAnsi="Arial"/>
          <w:sz w:val="17"/>
          <w:szCs w:val="17"/>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spacing w:after="0" w:line="68" w:lineRule="exact"/>
        <w:rPr>
          <w:sz w:val="20"/>
          <w:szCs w:val="20"/>
          <w:color w:val="auto"/>
        </w:rPr>
      </w:pPr>
    </w:p>
    <w:p>
      <w:pPr>
        <w:ind w:left="1020" w:hanging="368"/>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extending the fixed maturity of any debt securities of any series;</w:t>
      </w:r>
    </w:p>
    <w:p>
      <w:pPr>
        <w:spacing w:after="0" w:line="117" w:lineRule="exact"/>
        <w:rPr>
          <w:rFonts w:ascii="Arial" w:cs="Arial" w:eastAsia="Arial" w:hAnsi="Arial"/>
          <w:sz w:val="18"/>
          <w:szCs w:val="18"/>
          <w:color w:val="auto"/>
        </w:rPr>
      </w:pPr>
    </w:p>
    <w:p>
      <w:pPr>
        <w:ind w:left="1020" w:right="899" w:hanging="368"/>
        <w:spacing w:after="0" w:line="342" w:lineRule="auto"/>
        <w:tabs>
          <w:tab w:leader="none" w:pos="10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reducing the principal amount, reducing the rate of or extending the time of payment of interest, or reducing any premium payable upon the redemption of any series of any debt securities; or</w:t>
      </w:r>
    </w:p>
    <w:p>
      <w:pPr>
        <w:spacing w:after="0" w:line="15" w:lineRule="exact"/>
        <w:rPr>
          <w:rFonts w:ascii="Arial" w:cs="Arial" w:eastAsia="Arial" w:hAnsi="Arial"/>
          <w:sz w:val="16"/>
          <w:szCs w:val="16"/>
          <w:color w:val="auto"/>
        </w:rPr>
      </w:pPr>
    </w:p>
    <w:p>
      <w:pPr>
        <w:ind w:left="1020" w:right="339" w:hanging="368"/>
        <w:spacing w:after="0" w:line="277"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reducing the percentage of debt securities, the holders of which are required to consent to any amendment, supplement, modification or waiver.</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Discharge</w:t>
      </w:r>
    </w:p>
    <w:p>
      <w:pPr>
        <w:spacing w:after="0" w:line="121" w:lineRule="exact"/>
        <w:rPr>
          <w:sz w:val="20"/>
          <w:szCs w:val="20"/>
          <w:color w:val="auto"/>
        </w:rPr>
      </w:pPr>
    </w:p>
    <w:p>
      <w:pPr>
        <w:ind w:left="300" w:right="319"/>
        <w:spacing w:after="0" w:line="277" w:lineRule="auto"/>
        <w:rPr>
          <w:sz w:val="20"/>
          <w:szCs w:val="20"/>
          <w:color w:val="auto"/>
        </w:rPr>
      </w:pPr>
      <w:r>
        <w:rPr>
          <w:rFonts w:ascii="Arial" w:cs="Arial" w:eastAsia="Arial" w:hAnsi="Arial"/>
          <w:sz w:val="18"/>
          <w:szCs w:val="18"/>
          <w:color w:val="auto"/>
        </w:rPr>
        <w:t>Each indenture provides that we can elect to be discharged from our obligations with respect to one or more series of debt securities, except for specified obligations, including obligations to:</w:t>
      </w:r>
    </w:p>
    <w:p>
      <w:pPr>
        <w:spacing w:after="0" w:line="62" w:lineRule="exact"/>
        <w:rPr>
          <w:sz w:val="20"/>
          <w:szCs w:val="20"/>
          <w:color w:val="auto"/>
        </w:rPr>
      </w:pPr>
    </w:p>
    <w:p>
      <w:pPr>
        <w:ind w:left="1020" w:hanging="368"/>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provide for payment;</w:t>
      </w:r>
    </w:p>
    <w:p>
      <w:pPr>
        <w:spacing w:after="0" w:line="117" w:lineRule="exact"/>
        <w:rPr>
          <w:rFonts w:ascii="Arial" w:cs="Arial" w:eastAsia="Arial" w:hAnsi="Arial"/>
          <w:sz w:val="18"/>
          <w:szCs w:val="18"/>
          <w:color w:val="auto"/>
        </w:rPr>
      </w:pPr>
    </w:p>
    <w:p>
      <w:pPr>
        <w:ind w:left="1020" w:hanging="368"/>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register the transfer or exchange of debt securities of the series;</w:t>
      </w:r>
    </w:p>
    <w:p>
      <w:pPr>
        <w:spacing w:after="0" w:line="117" w:lineRule="exact"/>
        <w:rPr>
          <w:rFonts w:ascii="Arial" w:cs="Arial" w:eastAsia="Arial" w:hAnsi="Arial"/>
          <w:sz w:val="18"/>
          <w:szCs w:val="18"/>
          <w:color w:val="auto"/>
        </w:rPr>
      </w:pPr>
    </w:p>
    <w:p>
      <w:pPr>
        <w:ind w:left="1020" w:hanging="368"/>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replace stolen, lost or mutilated debt securities of the series;</w:t>
      </w:r>
    </w:p>
    <w:p>
      <w:pPr>
        <w:spacing w:after="0" w:line="117" w:lineRule="exact"/>
        <w:rPr>
          <w:rFonts w:ascii="Arial" w:cs="Arial" w:eastAsia="Arial" w:hAnsi="Arial"/>
          <w:sz w:val="18"/>
          <w:szCs w:val="18"/>
          <w:color w:val="auto"/>
        </w:rPr>
      </w:pPr>
    </w:p>
    <w:p>
      <w:pPr>
        <w:ind w:left="1020" w:hanging="368"/>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pay principal of and premium and interest on any debt securities of the series;</w:t>
      </w:r>
    </w:p>
    <w:p>
      <w:pPr>
        <w:spacing w:after="0" w:line="117" w:lineRule="exact"/>
        <w:rPr>
          <w:rFonts w:ascii="Arial" w:cs="Arial" w:eastAsia="Arial" w:hAnsi="Arial"/>
          <w:sz w:val="18"/>
          <w:szCs w:val="18"/>
          <w:color w:val="auto"/>
        </w:rPr>
      </w:pPr>
    </w:p>
    <w:p>
      <w:pPr>
        <w:ind w:left="1020" w:hanging="368"/>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maintain paying agencies;</w:t>
      </w:r>
    </w:p>
    <w:p>
      <w:pPr>
        <w:spacing w:after="0" w:line="117" w:lineRule="exact"/>
        <w:rPr>
          <w:rFonts w:ascii="Arial" w:cs="Arial" w:eastAsia="Arial" w:hAnsi="Arial"/>
          <w:sz w:val="18"/>
          <w:szCs w:val="18"/>
          <w:color w:val="auto"/>
        </w:rPr>
      </w:pPr>
    </w:p>
    <w:p>
      <w:pPr>
        <w:ind w:left="1020" w:hanging="368"/>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hold monies for payment in trust;</w:t>
      </w:r>
    </w:p>
    <w:p>
      <w:pPr>
        <w:spacing w:after="0" w:line="117" w:lineRule="exact"/>
        <w:rPr>
          <w:rFonts w:ascii="Arial" w:cs="Arial" w:eastAsia="Arial" w:hAnsi="Arial"/>
          <w:sz w:val="18"/>
          <w:szCs w:val="18"/>
          <w:color w:val="auto"/>
        </w:rPr>
      </w:pPr>
    </w:p>
    <w:p>
      <w:pPr>
        <w:ind w:left="1020" w:hanging="368"/>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recover excess money held by the trustee;</w:t>
      </w:r>
    </w:p>
    <w:p>
      <w:pPr>
        <w:spacing w:after="0" w:line="117" w:lineRule="exact"/>
        <w:rPr>
          <w:rFonts w:ascii="Arial" w:cs="Arial" w:eastAsia="Arial" w:hAnsi="Arial"/>
          <w:sz w:val="18"/>
          <w:szCs w:val="18"/>
          <w:color w:val="auto"/>
        </w:rPr>
      </w:pPr>
    </w:p>
    <w:p>
      <w:pPr>
        <w:ind w:left="1020" w:hanging="368"/>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compensate and indemnify the trustee; and</w:t>
      </w:r>
    </w:p>
    <w:p>
      <w:pPr>
        <w:spacing w:after="0" w:line="117" w:lineRule="exact"/>
        <w:rPr>
          <w:rFonts w:ascii="Arial" w:cs="Arial" w:eastAsia="Arial" w:hAnsi="Arial"/>
          <w:sz w:val="18"/>
          <w:szCs w:val="18"/>
          <w:color w:val="auto"/>
        </w:rPr>
      </w:pPr>
    </w:p>
    <w:p>
      <w:pPr>
        <w:ind w:left="1020" w:hanging="368"/>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appoint any successor trustee.</w:t>
      </w:r>
    </w:p>
    <w:p>
      <w:pPr>
        <w:spacing w:after="0" w:line="117" w:lineRule="exact"/>
        <w:rPr>
          <w:sz w:val="20"/>
          <w:szCs w:val="20"/>
          <w:color w:val="auto"/>
        </w:rPr>
      </w:pPr>
    </w:p>
    <w:p>
      <w:pPr>
        <w:ind w:left="300" w:right="479"/>
        <w:spacing w:after="0" w:line="263" w:lineRule="auto"/>
        <w:rPr>
          <w:sz w:val="20"/>
          <w:szCs w:val="20"/>
          <w:color w:val="auto"/>
        </w:rPr>
      </w:pPr>
      <w:r>
        <w:rPr>
          <w:rFonts w:ascii="Arial" w:cs="Arial" w:eastAsia="Arial" w:hAnsi="Arial"/>
          <w:sz w:val="18"/>
          <w:szCs w:val="18"/>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Form, Exchange and Transfer</w:t>
      </w:r>
    </w:p>
    <w:p>
      <w:pPr>
        <w:spacing w:after="0" w:line="121" w:lineRule="exact"/>
        <w:rPr>
          <w:sz w:val="20"/>
          <w:szCs w:val="20"/>
          <w:color w:val="auto"/>
        </w:rPr>
      </w:pPr>
    </w:p>
    <w:p>
      <w:pPr>
        <w:ind w:left="300" w:right="319"/>
        <w:spacing w:after="0" w:line="291" w:lineRule="auto"/>
        <w:rPr>
          <w:sz w:val="20"/>
          <w:szCs w:val="20"/>
          <w:color w:val="auto"/>
        </w:rPr>
      </w:pPr>
      <w:r>
        <w:rPr>
          <w:rFonts w:ascii="Arial" w:cs="Arial" w:eastAsia="Arial" w:hAnsi="Arial"/>
          <w:sz w:val="16"/>
          <w:szCs w:val="16"/>
          <w:color w:val="auto"/>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w:t>
      </w:r>
    </w:p>
    <w:p>
      <w:pPr>
        <w:spacing w:after="0" w:line="58" w:lineRule="exact"/>
        <w:rPr>
          <w:sz w:val="20"/>
          <w:szCs w:val="20"/>
          <w:color w:val="auto"/>
        </w:rPr>
      </w:pPr>
    </w:p>
    <w:p>
      <w:pPr>
        <w:ind w:left="300" w:right="519"/>
        <w:spacing w:after="0" w:line="259" w:lineRule="auto"/>
        <w:rPr>
          <w:sz w:val="20"/>
          <w:szCs w:val="20"/>
          <w:color w:val="auto"/>
        </w:rPr>
      </w:pPr>
      <w:r>
        <w:rPr>
          <w:rFonts w:ascii="Arial" w:cs="Arial" w:eastAsia="Arial" w:hAnsi="Arial"/>
          <w:sz w:val="18"/>
          <w:szCs w:val="18"/>
          <w:color w:val="auto"/>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79" w:lineRule="exact"/>
        <w:rPr>
          <w:sz w:val="20"/>
          <w:szCs w:val="20"/>
          <w:color w:val="auto"/>
        </w:rPr>
      </w:pPr>
    </w:p>
    <w:p>
      <w:pPr>
        <w:ind w:left="300" w:right="359"/>
        <w:spacing w:after="0" w:line="254" w:lineRule="auto"/>
        <w:rPr>
          <w:sz w:val="20"/>
          <w:szCs w:val="20"/>
          <w:color w:val="auto"/>
        </w:rPr>
      </w:pPr>
      <w:r>
        <w:rPr>
          <w:rFonts w:ascii="Arial" w:cs="Arial" w:eastAsia="Arial" w:hAnsi="Arial"/>
          <w:sz w:val="18"/>
          <w:szCs w:val="18"/>
          <w:color w:val="auto"/>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87" w:lineRule="exact"/>
        <w:rPr>
          <w:sz w:val="20"/>
          <w:szCs w:val="20"/>
          <w:color w:val="auto"/>
        </w:rPr>
      </w:pPr>
    </w:p>
    <w:p>
      <w:pPr>
        <w:ind w:left="300" w:right="339"/>
        <w:spacing w:after="0" w:line="342" w:lineRule="auto"/>
        <w:rPr>
          <w:sz w:val="20"/>
          <w:szCs w:val="20"/>
          <w:color w:val="auto"/>
        </w:rPr>
      </w:pPr>
      <w:r>
        <w:rPr>
          <w:rFonts w:ascii="Arial" w:cs="Arial" w:eastAsia="Arial" w:hAnsi="Arial"/>
          <w:sz w:val="16"/>
          <w:szCs w:val="16"/>
          <w:color w:val="auto"/>
        </w:rPr>
        <w:t>We will name in the applicable prospectus supplement the security registrar, and any transfer agent in addition to the security registrar, that we initially designate for any debt securities. We may at any time designate additional</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5" w:name="page46"/>
    <w:bookmarkEnd w:id="45"/>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379"/>
        <w:spacing w:after="0" w:line="263" w:lineRule="auto"/>
        <w:rPr>
          <w:sz w:val="20"/>
          <w:szCs w:val="20"/>
          <w:color w:val="auto"/>
        </w:rPr>
      </w:pPr>
      <w:r>
        <w:rPr>
          <w:rFonts w:ascii="Arial" w:cs="Arial" w:eastAsia="Arial" w:hAnsi="Arial"/>
          <w:sz w:val="18"/>
          <w:szCs w:val="18"/>
          <w:color w:val="auto"/>
        </w:rPr>
        <w:t>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3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If we elect to redeem the debt securities of any series, we will not be required to:</w:t>
      </w:r>
    </w:p>
    <w:p>
      <w:pPr>
        <w:spacing w:after="0" w:line="117" w:lineRule="exact"/>
        <w:rPr>
          <w:sz w:val="20"/>
          <w:szCs w:val="20"/>
          <w:color w:val="auto"/>
        </w:rPr>
      </w:pPr>
    </w:p>
    <w:p>
      <w:pPr>
        <w:jc w:val="both"/>
        <w:ind w:left="1020" w:right="299" w:hanging="368"/>
        <w:spacing w:after="0" w:line="311" w:lineRule="auto"/>
        <w:tabs>
          <w:tab w:leader="none" w:pos="10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40" w:lineRule="exact"/>
        <w:rPr>
          <w:rFonts w:ascii="Arial" w:cs="Arial" w:eastAsia="Arial" w:hAnsi="Arial"/>
          <w:sz w:val="16"/>
          <w:szCs w:val="16"/>
          <w:color w:val="auto"/>
        </w:rPr>
      </w:pPr>
    </w:p>
    <w:p>
      <w:pPr>
        <w:ind w:left="1020" w:right="699" w:hanging="368"/>
        <w:spacing w:after="0" w:line="277"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securities so selected for redemption, in whole or in part, except the unredeemed portion of any debt securities we are redeeming in part.</w:t>
      </w:r>
    </w:p>
    <w:p>
      <w:pPr>
        <w:spacing w:after="0" w:line="3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Information Concerning the Trustee</w:t>
      </w:r>
    </w:p>
    <w:p>
      <w:pPr>
        <w:spacing w:after="0" w:line="121" w:lineRule="exact"/>
        <w:rPr>
          <w:sz w:val="20"/>
          <w:szCs w:val="20"/>
          <w:color w:val="auto"/>
        </w:rPr>
      </w:pPr>
    </w:p>
    <w:p>
      <w:pPr>
        <w:ind w:left="300" w:right="419"/>
        <w:spacing w:after="0" w:line="293" w:lineRule="auto"/>
        <w:rPr>
          <w:sz w:val="20"/>
          <w:szCs w:val="20"/>
          <w:color w:val="auto"/>
        </w:rPr>
      </w:pPr>
      <w:r>
        <w:rPr>
          <w:rFonts w:ascii="Arial" w:cs="Arial" w:eastAsia="Arial" w:hAnsi="Arial"/>
          <w:sz w:val="16"/>
          <w:szCs w:val="16"/>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spacing w:after="0" w:line="30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Payment and Paying Agents</w:t>
      </w:r>
    </w:p>
    <w:p>
      <w:pPr>
        <w:spacing w:after="0" w:line="121" w:lineRule="exact"/>
        <w:rPr>
          <w:sz w:val="20"/>
          <w:szCs w:val="20"/>
          <w:color w:val="auto"/>
        </w:rPr>
      </w:pPr>
    </w:p>
    <w:p>
      <w:pPr>
        <w:ind w:left="300" w:right="419"/>
        <w:spacing w:after="0" w:line="311" w:lineRule="auto"/>
        <w:rPr>
          <w:sz w:val="20"/>
          <w:szCs w:val="20"/>
          <w:color w:val="auto"/>
        </w:rPr>
      </w:pPr>
      <w:r>
        <w:rPr>
          <w:rFonts w:ascii="Arial" w:cs="Arial" w:eastAsia="Arial" w:hAnsi="Arial"/>
          <w:sz w:val="16"/>
          <w:szCs w:val="16"/>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41" w:lineRule="exact"/>
        <w:rPr>
          <w:sz w:val="20"/>
          <w:szCs w:val="20"/>
          <w:color w:val="auto"/>
        </w:rPr>
      </w:pPr>
    </w:p>
    <w:p>
      <w:pPr>
        <w:ind w:left="300" w:right="339"/>
        <w:spacing w:after="0" w:line="254" w:lineRule="auto"/>
        <w:rPr>
          <w:sz w:val="20"/>
          <w:szCs w:val="20"/>
          <w:color w:val="auto"/>
        </w:rPr>
      </w:pPr>
      <w:r>
        <w:rPr>
          <w:rFonts w:ascii="Arial" w:cs="Arial" w:eastAsia="Arial" w:hAnsi="Arial"/>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84" w:lineRule="exact"/>
        <w:rPr>
          <w:sz w:val="20"/>
          <w:szCs w:val="20"/>
          <w:color w:val="auto"/>
        </w:rPr>
      </w:pPr>
    </w:p>
    <w:p>
      <w:pPr>
        <w:ind w:left="300" w:right="419"/>
        <w:spacing w:after="0" w:line="259" w:lineRule="auto"/>
        <w:rPr>
          <w:sz w:val="20"/>
          <w:szCs w:val="20"/>
          <w:color w:val="auto"/>
        </w:rPr>
      </w:pPr>
      <w:r>
        <w:rPr>
          <w:rFonts w:ascii="Arial" w:cs="Arial" w:eastAsia="Arial" w:hAnsi="Arial"/>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34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300" w:right="439"/>
        <w:spacing w:after="0" w:line="277" w:lineRule="auto"/>
        <w:rPr>
          <w:sz w:val="20"/>
          <w:szCs w:val="20"/>
          <w:color w:val="auto"/>
        </w:rPr>
      </w:pPr>
      <w:r>
        <w:rPr>
          <w:rFonts w:ascii="Arial" w:cs="Arial" w:eastAsia="Arial" w:hAnsi="Arial"/>
          <w:sz w:val="18"/>
          <w:szCs w:val="18"/>
          <w:color w:val="auto"/>
        </w:rPr>
        <w:t>The indenture and the debt securities will be governed by and construed in accordance with the internal laws of the State of New York, except to the extent that the Trust Indenture Act is applicable.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6" w:name="page47"/>
    <w:bookmarkEnd w:id="46"/>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WARRANTS</w:t>
      </w:r>
    </w:p>
    <w:p>
      <w:pPr>
        <w:spacing w:after="0" w:line="121" w:lineRule="exact"/>
        <w:rPr>
          <w:sz w:val="20"/>
          <w:szCs w:val="20"/>
          <w:color w:val="auto"/>
        </w:rPr>
      </w:pPr>
    </w:p>
    <w:p>
      <w:pPr>
        <w:ind w:left="300" w:right="439"/>
        <w:spacing w:after="0" w:line="288" w:lineRule="auto"/>
        <w:rPr>
          <w:sz w:val="20"/>
          <w:szCs w:val="20"/>
          <w:color w:val="auto"/>
        </w:rPr>
      </w:pPr>
      <w:r>
        <w:rPr>
          <w:rFonts w:ascii="Arial" w:cs="Arial" w:eastAsia="Arial" w:hAnsi="Arial"/>
          <w:sz w:val="16"/>
          <w:szCs w:val="16"/>
          <w:color w:val="auto"/>
        </w:rPr>
        <w:t>The following description, together with the additional information we may include in any applicable prospectus supplement and free writing prospectus, summarizes the material terms and provisions of the warrants that we may offer under this prospectus, which may consist of warrants to purchase Class 2 common stock, preferred stock or debt securities and may be issued in one or more series. Warrants may be offered independently or in combination with Class 2 common stock, preferred stock or debt securities offered by any prospectus supplement. While the terms we have summarized below will apply generally to any warrants that we may offer under this prospectus, we will describe the particular terms of any series of warrants in more detail in the applicable prospectus supplement. The following description of warrants will apply to the warrants offered by this prospectus unless we provide otherwise in the applicable prospectus supplement. The applicable prospectus supplement for a particular series of warrants may specify different or additional terms.</w:t>
      </w:r>
    </w:p>
    <w:p>
      <w:pPr>
        <w:spacing w:after="0" w:line="60" w:lineRule="exact"/>
        <w:rPr>
          <w:sz w:val="20"/>
          <w:szCs w:val="20"/>
          <w:color w:val="auto"/>
        </w:rPr>
      </w:pPr>
    </w:p>
    <w:p>
      <w:pPr>
        <w:ind w:left="300" w:right="319"/>
        <w:spacing w:after="0" w:line="268" w:lineRule="auto"/>
        <w:rPr>
          <w:sz w:val="20"/>
          <w:szCs w:val="20"/>
          <w:color w:val="auto"/>
        </w:rPr>
      </w:pPr>
      <w:r>
        <w:rPr>
          <w:rFonts w:ascii="Arial" w:cs="Arial" w:eastAsia="Arial" w:hAnsi="Arial"/>
          <w:sz w:val="17"/>
          <w:szCs w:val="17"/>
          <w:color w:val="auto"/>
        </w:rPr>
        <w:t>We have filed forms of the warrant agreements and forms of warrant certificates containing the terms of the warrants that may be offered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contain the terms of the particular series of warrants we are offering, and any supplemental agreements, before the issuance of such warrants. The following summaries of material terms and provisions of the warrants are subject to, and qualified in their entirety by reference to, all the provisions of the form of warrant and/or the warrant agreement and warrant certificate, as applicable, and any supplemental agreements applicable to a particular series of warrants that we or selling securityholders may offer under this prospectus. We urge you to read the applicable prospectus supplement related to the particular series of warrants that we or selling securityholders may offer under this prospectus, as well as any related free writing prospectus, and the complete form of warrant and/or the warrant agreement and warrant certificate, as applicable, and any supplemental agreements, that contain the terms of the warrants.</w:t>
      </w:r>
    </w:p>
    <w:p>
      <w:pPr>
        <w:spacing w:after="0" w:line="3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300" w:right="1059"/>
        <w:spacing w:after="0" w:line="277" w:lineRule="auto"/>
        <w:rPr>
          <w:sz w:val="20"/>
          <w:szCs w:val="20"/>
          <w:color w:val="auto"/>
        </w:rPr>
      </w:pPr>
      <w:r>
        <w:rPr>
          <w:rFonts w:ascii="Arial" w:cs="Arial" w:eastAsia="Arial" w:hAnsi="Arial"/>
          <w:sz w:val="18"/>
          <w:szCs w:val="18"/>
          <w:color w:val="auto"/>
        </w:rPr>
        <w:t>We will describe in the applicable prospectus supplement the terms of the series of warrants being offered, including:</w:t>
      </w:r>
    </w:p>
    <w:p>
      <w:pPr>
        <w:spacing w:after="0" w:line="22" w:lineRule="exact"/>
        <w:rPr>
          <w:sz w:val="20"/>
          <w:szCs w:val="20"/>
          <w:color w:val="auto"/>
        </w:rPr>
      </w:pPr>
    </w:p>
    <w:p>
      <w:pPr>
        <w:ind w:left="1020" w:hanging="368"/>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offering price and aggregate number of warrants offered;</w:t>
      </w:r>
    </w:p>
    <w:p>
      <w:pPr>
        <w:spacing w:after="0" w:line="90" w:lineRule="exact"/>
        <w:rPr>
          <w:rFonts w:ascii="Arial" w:cs="Arial" w:eastAsia="Arial" w:hAnsi="Arial"/>
          <w:sz w:val="18"/>
          <w:szCs w:val="18"/>
          <w:color w:val="auto"/>
        </w:rPr>
      </w:pPr>
    </w:p>
    <w:p>
      <w:pPr>
        <w:ind w:left="1020" w:hanging="368"/>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currency for which the warrants may be purchased;</w:t>
      </w:r>
    </w:p>
    <w:p>
      <w:pPr>
        <w:spacing w:after="0" w:line="76" w:lineRule="exact"/>
        <w:rPr>
          <w:rFonts w:ascii="Arial" w:cs="Arial" w:eastAsia="Arial" w:hAnsi="Arial"/>
          <w:sz w:val="18"/>
          <w:szCs w:val="18"/>
          <w:color w:val="auto"/>
        </w:rPr>
      </w:pPr>
    </w:p>
    <w:p>
      <w:pPr>
        <w:ind w:left="1020" w:right="879" w:hanging="368"/>
        <w:spacing w:after="0" w:line="325" w:lineRule="auto"/>
        <w:tabs>
          <w:tab w:leader="none" w:pos="10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if applicable, the designation and terms of the securities with which the warrants are issued and the number of warrants issued with each such security or each principal amount of such security;</w:t>
      </w:r>
    </w:p>
    <w:p>
      <w:pPr>
        <w:spacing w:after="0" w:line="1" w:lineRule="exact"/>
        <w:rPr>
          <w:rFonts w:ascii="Arial" w:cs="Arial" w:eastAsia="Arial" w:hAnsi="Arial"/>
          <w:sz w:val="16"/>
          <w:szCs w:val="16"/>
          <w:color w:val="auto"/>
        </w:rPr>
      </w:pPr>
    </w:p>
    <w:p>
      <w:pPr>
        <w:ind w:left="1020" w:right="679" w:hanging="368"/>
        <w:spacing w:after="0" w:line="263"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48" w:lineRule="exact"/>
        <w:rPr>
          <w:rFonts w:ascii="Arial" w:cs="Arial" w:eastAsia="Arial" w:hAnsi="Arial"/>
          <w:sz w:val="18"/>
          <w:szCs w:val="18"/>
          <w:color w:val="auto"/>
        </w:rPr>
      </w:pPr>
    </w:p>
    <w:p>
      <w:pPr>
        <w:ind w:left="1020" w:right="739" w:hanging="368"/>
        <w:spacing w:after="0" w:line="311" w:lineRule="auto"/>
        <w:tabs>
          <w:tab w:leader="none" w:pos="10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 the case of warrants to purchase Class 2 common stock or preferred stock, the number of shares of Class 2 common stock or preferred stock, as the case may be, purchasable upon the exercise of one warrant and the price at which these shares may be purchased upon such exercise;</w:t>
      </w:r>
    </w:p>
    <w:p>
      <w:pPr>
        <w:ind w:left="1020" w:right="339" w:hanging="368"/>
        <w:spacing w:after="0" w:line="277"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effect of any merger, consolidation, sale or other disposition of our business on the warrant agreements and the warrants;</w:t>
      </w:r>
    </w:p>
    <w:p>
      <w:pPr>
        <w:spacing w:after="0" w:line="21" w:lineRule="exact"/>
        <w:rPr>
          <w:rFonts w:ascii="Arial" w:cs="Arial" w:eastAsia="Arial" w:hAnsi="Arial"/>
          <w:sz w:val="18"/>
          <w:szCs w:val="18"/>
          <w:color w:val="auto"/>
        </w:rPr>
      </w:pPr>
    </w:p>
    <w:p>
      <w:pPr>
        <w:ind w:left="1020" w:hanging="368"/>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terms of any rights to redeem or call the warrants;</w:t>
      </w:r>
    </w:p>
    <w:p>
      <w:pPr>
        <w:spacing w:after="0" w:line="90" w:lineRule="exact"/>
        <w:rPr>
          <w:rFonts w:ascii="Arial" w:cs="Arial" w:eastAsia="Arial" w:hAnsi="Arial"/>
          <w:sz w:val="18"/>
          <w:szCs w:val="18"/>
          <w:color w:val="auto"/>
        </w:rPr>
      </w:pPr>
    </w:p>
    <w:p>
      <w:pPr>
        <w:ind w:left="1020" w:right="559" w:hanging="368"/>
        <w:spacing w:after="0" w:line="277"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provisions for changes to or adjustments in the exercise price or number of securities issuable upon exercise of the warrants;</w:t>
      </w:r>
    </w:p>
    <w:p>
      <w:pPr>
        <w:spacing w:after="0" w:line="21" w:lineRule="exact"/>
        <w:rPr>
          <w:rFonts w:ascii="Arial" w:cs="Arial" w:eastAsia="Arial" w:hAnsi="Arial"/>
          <w:sz w:val="18"/>
          <w:szCs w:val="18"/>
          <w:color w:val="auto"/>
        </w:rPr>
      </w:pPr>
    </w:p>
    <w:p>
      <w:pPr>
        <w:ind w:left="1020" w:hanging="368"/>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will commence and expire;</w:t>
      </w:r>
    </w:p>
    <w:p>
      <w:pPr>
        <w:spacing w:after="0" w:line="76" w:lineRule="exact"/>
        <w:rPr>
          <w:rFonts w:ascii="Arial" w:cs="Arial" w:eastAsia="Arial" w:hAnsi="Arial"/>
          <w:sz w:val="18"/>
          <w:szCs w:val="18"/>
          <w:color w:val="auto"/>
        </w:rPr>
      </w:pPr>
    </w:p>
    <w:p>
      <w:pPr>
        <w:ind w:left="1020" w:hanging="368"/>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manner in which the warrant agreements and warrants may be modified;</w:t>
      </w:r>
    </w:p>
    <w:p>
      <w:pPr>
        <w:spacing w:after="0" w:line="90" w:lineRule="exact"/>
        <w:rPr>
          <w:rFonts w:ascii="Arial" w:cs="Arial" w:eastAsia="Arial" w:hAnsi="Arial"/>
          <w:sz w:val="18"/>
          <w:szCs w:val="18"/>
          <w:color w:val="auto"/>
        </w:rPr>
      </w:pPr>
    </w:p>
    <w:p>
      <w:pPr>
        <w:ind w:left="1020" w:right="419" w:hanging="368"/>
        <w:spacing w:after="0" w:line="277"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discussion of material or special U.S. federal income tax considerations, if any, of holding or exercising the warrants;</w:t>
      </w:r>
    </w:p>
    <w:p>
      <w:pPr>
        <w:spacing w:after="0" w:line="21" w:lineRule="exact"/>
        <w:rPr>
          <w:rFonts w:ascii="Arial" w:cs="Arial" w:eastAsia="Arial" w:hAnsi="Arial"/>
          <w:sz w:val="18"/>
          <w:szCs w:val="18"/>
          <w:color w:val="auto"/>
        </w:rPr>
      </w:pPr>
    </w:p>
    <w:p>
      <w:pPr>
        <w:ind w:left="1020" w:hanging="368"/>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 and</w:t>
      </w:r>
    </w:p>
    <w:p>
      <w:pPr>
        <w:spacing w:after="0" w:line="76" w:lineRule="exact"/>
        <w:rPr>
          <w:rFonts w:ascii="Arial" w:cs="Arial" w:eastAsia="Arial" w:hAnsi="Arial"/>
          <w:sz w:val="18"/>
          <w:szCs w:val="18"/>
          <w:color w:val="auto"/>
        </w:rPr>
      </w:pPr>
    </w:p>
    <w:p>
      <w:pPr>
        <w:ind w:left="1020" w:hanging="368"/>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warrants.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7" w:name="page48"/>
    <w:bookmarkEnd w:id="47"/>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779"/>
        <w:spacing w:after="0" w:line="277" w:lineRule="auto"/>
        <w:rPr>
          <w:sz w:val="20"/>
          <w:szCs w:val="20"/>
          <w:color w:val="auto"/>
        </w:rPr>
      </w:pPr>
      <w:r>
        <w:rPr>
          <w:rFonts w:ascii="Arial" w:cs="Arial" w:eastAsia="Arial" w:hAnsi="Arial"/>
          <w:sz w:val="18"/>
          <w:szCs w:val="18"/>
          <w:color w:val="auto"/>
        </w:rPr>
        <w:t>Before exercising their warrants, holders of warrants will not have any of the rights of holders of the securities purchasable upon such exercise, including:</w:t>
      </w:r>
    </w:p>
    <w:p>
      <w:pPr>
        <w:spacing w:after="0" w:line="62" w:lineRule="exact"/>
        <w:rPr>
          <w:sz w:val="20"/>
          <w:szCs w:val="20"/>
          <w:color w:val="auto"/>
        </w:rPr>
      </w:pPr>
    </w:p>
    <w:p>
      <w:pPr>
        <w:ind w:left="1020" w:right="319" w:hanging="368"/>
        <w:spacing w:after="0" w:line="263" w:lineRule="auto"/>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right to receive payments of principal of, or premium, if any, or interest on, the debt securities purchasable upon exercise or to enforce covenants in the applicable indenture; or</w:t>
      </w:r>
    </w:p>
    <w:p>
      <w:pPr>
        <w:spacing w:after="0" w:line="75" w:lineRule="exact"/>
        <w:rPr>
          <w:rFonts w:ascii="Arial" w:cs="Arial" w:eastAsia="Arial" w:hAnsi="Arial"/>
          <w:sz w:val="18"/>
          <w:szCs w:val="18"/>
          <w:color w:val="auto"/>
        </w:rPr>
      </w:pPr>
    </w:p>
    <w:p>
      <w:pPr>
        <w:ind w:left="1020" w:right="379" w:hanging="368"/>
        <w:spacing w:after="0" w:line="263" w:lineRule="auto"/>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the case of warrants to purchase Class 2 common stock or preferred stock, the right to receive dividends, if any, or payments upon our liquidation, dissolution or winding up or to exercise voting rights, if any.</w:t>
      </w:r>
    </w:p>
    <w:p>
      <w:pPr>
        <w:spacing w:after="0" w:line="3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Exercise of Warrants</w:t>
      </w:r>
    </w:p>
    <w:p>
      <w:pPr>
        <w:spacing w:after="0" w:line="121" w:lineRule="exact"/>
        <w:rPr>
          <w:sz w:val="20"/>
          <w:szCs w:val="20"/>
          <w:color w:val="auto"/>
        </w:rPr>
      </w:pPr>
    </w:p>
    <w:p>
      <w:pPr>
        <w:ind w:left="300" w:right="479"/>
        <w:spacing w:after="0" w:line="273" w:lineRule="auto"/>
        <w:rPr>
          <w:sz w:val="20"/>
          <w:szCs w:val="20"/>
          <w:color w:val="auto"/>
        </w:rPr>
      </w:pPr>
      <w:r>
        <w:rPr>
          <w:rFonts w:ascii="Arial" w:cs="Arial" w:eastAsia="Arial" w:hAnsi="Arial"/>
          <w:sz w:val="17"/>
          <w:szCs w:val="17"/>
          <w:color w:val="auto"/>
        </w:rPr>
        <w:t>Each warrant will entitle the holder to purchase the securities that we specify in the applicable prospectus supplement at the exercise price that we describe in the applicable prospectus supplement. The warrants may be exercised as set forth in the prospectus supplement relating to the warrants offered. Unless we otherwise specify in the applicable prospectus supplement, warrants may be exercised at any time up to the close of business on the expiration date set forth in the prospectus supplement relating to the warrants offered thereby. After the close of business on the expiration date, unexercised warrants will become void.</w:t>
      </w:r>
    </w:p>
    <w:p>
      <w:pPr>
        <w:spacing w:after="0" w:line="70" w:lineRule="exact"/>
        <w:rPr>
          <w:sz w:val="20"/>
          <w:szCs w:val="20"/>
          <w:color w:val="auto"/>
        </w:rPr>
      </w:pPr>
    </w:p>
    <w:p>
      <w:pPr>
        <w:ind w:left="300" w:right="339"/>
        <w:spacing w:after="0" w:line="275" w:lineRule="auto"/>
        <w:rPr>
          <w:sz w:val="20"/>
          <w:szCs w:val="20"/>
          <w:color w:val="auto"/>
        </w:rPr>
      </w:pPr>
      <w:r>
        <w:rPr>
          <w:rFonts w:ascii="Arial" w:cs="Arial" w:eastAsia="Arial" w:hAnsi="Arial"/>
          <w:sz w:val="17"/>
          <w:szCs w:val="17"/>
          <w:color w:val="auto"/>
        </w:rPr>
        <w:t>Upon receipt of payment and the warrant or warrant certificate, as applicable, properly completed and duly executed at the corporate trust office of the warrant agent, if any, or any other office, including ours, indicated in the prospectus supplement, we will, as soon as practicable, issue and deliver the securities purchasable upon such exercise. If less than all of the warrants (or the warrants represented by such warrant certificate) are exercised, a new warrant or a new warrant certificate, as applicable, will be issued for the remaining warrants.</w:t>
      </w:r>
    </w:p>
    <w:p>
      <w:pPr>
        <w:spacing w:after="0" w:line="32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300" w:right="359"/>
        <w:spacing w:after="0" w:line="308" w:lineRule="auto"/>
        <w:rPr>
          <w:sz w:val="20"/>
          <w:szCs w:val="20"/>
          <w:color w:val="auto"/>
        </w:rPr>
      </w:pPr>
      <w:r>
        <w:rPr>
          <w:rFonts w:ascii="Arial" w:cs="Arial" w:eastAsia="Arial" w:hAnsi="Arial"/>
          <w:sz w:val="17"/>
          <w:szCs w:val="17"/>
          <w:color w:val="auto"/>
        </w:rPr>
        <w:t>Unless we provide otherwise in the applicable prospectus supplement, the warrants and any warrant agreements will be governed by and construed in accordance with the internal laws of the State of New York.</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Enforceability of Rights by Holders of Warrants</w:t>
      </w:r>
    </w:p>
    <w:p>
      <w:pPr>
        <w:spacing w:after="0" w:line="121" w:lineRule="exact"/>
        <w:rPr>
          <w:sz w:val="20"/>
          <w:szCs w:val="20"/>
          <w:color w:val="auto"/>
        </w:rPr>
      </w:pPr>
    </w:p>
    <w:p>
      <w:pPr>
        <w:ind w:left="300" w:right="339"/>
        <w:spacing w:after="0" w:line="291" w:lineRule="auto"/>
        <w:rPr>
          <w:sz w:val="20"/>
          <w:szCs w:val="20"/>
          <w:color w:val="auto"/>
        </w:rPr>
      </w:pPr>
      <w:r>
        <w:rPr>
          <w:rFonts w:ascii="Arial" w:cs="Arial" w:eastAsia="Arial" w:hAnsi="Arial"/>
          <w:sz w:val="16"/>
          <w:szCs w:val="16"/>
          <w:color w:val="auto"/>
        </w:rPr>
        <w:t>Each warrant agent, if any,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8" w:name="page49"/>
    <w:bookmarkEnd w:id="48"/>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OWNERSHIP OF SECURITIES</w:t>
      </w:r>
    </w:p>
    <w:p>
      <w:pPr>
        <w:spacing w:after="0" w:line="121" w:lineRule="exact"/>
        <w:rPr>
          <w:sz w:val="20"/>
          <w:szCs w:val="20"/>
          <w:color w:val="auto"/>
        </w:rPr>
      </w:pPr>
    </w:p>
    <w:p>
      <w:pPr>
        <w:ind w:left="300" w:right="359"/>
        <w:spacing w:after="0" w:line="272" w:lineRule="auto"/>
        <w:rPr>
          <w:sz w:val="20"/>
          <w:szCs w:val="20"/>
          <w:color w:val="auto"/>
        </w:rPr>
      </w:pPr>
      <w:r>
        <w:rPr>
          <w:rFonts w:ascii="Arial" w:cs="Arial" w:eastAsia="Arial" w:hAnsi="Arial"/>
          <w:sz w:val="17"/>
          <w:szCs w:val="17"/>
          <w:color w:val="auto"/>
        </w:rPr>
        <w:t>We may issue securities in registered form or in the form of one or more global securities. We describe global securities in greater detail below. We refer to those persons who have securities registered in their own names on the books that we or any applicable trustee,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Book-Entry Holders</w:t>
      </w:r>
    </w:p>
    <w:p>
      <w:pPr>
        <w:spacing w:after="0" w:line="121" w:lineRule="exact"/>
        <w:rPr>
          <w:sz w:val="20"/>
          <w:szCs w:val="20"/>
          <w:color w:val="auto"/>
        </w:rPr>
      </w:pPr>
    </w:p>
    <w:p>
      <w:pPr>
        <w:ind w:left="300" w:right="339"/>
        <w:spacing w:after="0" w:line="257" w:lineRule="auto"/>
        <w:rPr>
          <w:sz w:val="20"/>
          <w:szCs w:val="20"/>
          <w:color w:val="auto"/>
        </w:rPr>
      </w:pPr>
      <w:r>
        <w:rPr>
          <w:rFonts w:ascii="Arial" w:cs="Arial" w:eastAsia="Arial" w:hAnsi="Arial"/>
          <w:sz w:val="18"/>
          <w:szCs w:val="18"/>
          <w:color w:val="auto"/>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spacing w:after="0" w:line="80" w:lineRule="exact"/>
        <w:rPr>
          <w:sz w:val="20"/>
          <w:szCs w:val="20"/>
          <w:color w:val="auto"/>
        </w:rPr>
      </w:pPr>
    </w:p>
    <w:p>
      <w:pPr>
        <w:ind w:left="300" w:right="319"/>
        <w:spacing w:after="0" w:line="272" w:lineRule="auto"/>
        <w:rPr>
          <w:sz w:val="20"/>
          <w:szCs w:val="20"/>
          <w:color w:val="auto"/>
        </w:rPr>
      </w:pPr>
      <w:r>
        <w:rPr>
          <w:rFonts w:ascii="Arial" w:cs="Arial" w:eastAsia="Arial" w:hAnsi="Arial"/>
          <w:sz w:val="17"/>
          <w:szCs w:val="17"/>
          <w:color w:val="auto"/>
        </w:rPr>
        <w:t>Only the person in whose name a security is registered is recognized as the holder of that security. Securities issued in global form will be registered in the name of the depositary or its participants. Consequently, for securities issued in global form,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spacing w:after="0" w:line="69" w:lineRule="exact"/>
        <w:rPr>
          <w:sz w:val="20"/>
          <w:szCs w:val="20"/>
          <w:color w:val="auto"/>
        </w:rPr>
      </w:pPr>
    </w:p>
    <w:p>
      <w:pPr>
        <w:ind w:left="300" w:right="379"/>
        <w:spacing w:after="0" w:line="279" w:lineRule="auto"/>
        <w:rPr>
          <w:sz w:val="20"/>
          <w:szCs w:val="20"/>
          <w:color w:val="auto"/>
        </w:rPr>
      </w:pPr>
      <w:r>
        <w:rPr>
          <w:rFonts w:ascii="Arial" w:cs="Arial" w:eastAsia="Arial" w:hAnsi="Arial"/>
          <w:sz w:val="17"/>
          <w:szCs w:val="17"/>
          <w:color w:val="auto"/>
        </w:rPr>
        <w:t>As a result, investors in a book-entry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holders, of the securities.</w:t>
      </w:r>
    </w:p>
    <w:p>
      <w:pPr>
        <w:spacing w:after="0" w:line="16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Street Name Holders</w:t>
      </w:r>
    </w:p>
    <w:p>
      <w:pPr>
        <w:spacing w:after="0" w:line="121" w:lineRule="exact"/>
        <w:rPr>
          <w:sz w:val="20"/>
          <w:szCs w:val="20"/>
          <w:color w:val="auto"/>
        </w:rPr>
      </w:pPr>
    </w:p>
    <w:p>
      <w:pPr>
        <w:ind w:left="300" w:right="499"/>
        <w:spacing w:after="0" w:line="301" w:lineRule="auto"/>
        <w:rPr>
          <w:sz w:val="20"/>
          <w:szCs w:val="20"/>
          <w:color w:val="auto"/>
        </w:rPr>
      </w:pPr>
      <w:r>
        <w:rPr>
          <w:rFonts w:ascii="Arial" w:cs="Arial" w:eastAsia="Arial" w:hAnsi="Arial"/>
          <w:sz w:val="16"/>
          <w:szCs w:val="16"/>
          <w:color w:val="auto"/>
        </w:rPr>
        <w:t>We may terminate a global security or issue securities in non-global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spacing w:after="0" w:line="49" w:lineRule="exact"/>
        <w:rPr>
          <w:sz w:val="20"/>
          <w:szCs w:val="20"/>
          <w:color w:val="auto"/>
        </w:rPr>
      </w:pPr>
    </w:p>
    <w:p>
      <w:pPr>
        <w:ind w:left="300" w:right="299"/>
        <w:spacing w:after="0" w:line="255" w:lineRule="auto"/>
        <w:rPr>
          <w:sz w:val="20"/>
          <w:szCs w:val="20"/>
          <w:color w:val="auto"/>
        </w:rPr>
      </w:pPr>
      <w:r>
        <w:rPr>
          <w:rFonts w:ascii="Arial" w:cs="Arial" w:eastAsia="Arial" w:hAnsi="Arial"/>
          <w:sz w:val="18"/>
          <w:szCs w:val="18"/>
          <w:color w:val="auto"/>
        </w:rPr>
        <w:t>For securities held in street name, we will recognize only the intermediary banks, brokers and other financial institutions in whose names the securities are registered as the holders of those securities, and we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holders, of those securities.</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Legal Holders</w:t>
      </w:r>
    </w:p>
    <w:p>
      <w:pPr>
        <w:spacing w:after="0" w:line="121" w:lineRule="exact"/>
        <w:rPr>
          <w:sz w:val="20"/>
          <w:szCs w:val="20"/>
          <w:color w:val="auto"/>
        </w:rPr>
      </w:pPr>
    </w:p>
    <w:p>
      <w:pPr>
        <w:ind w:left="300" w:right="359"/>
        <w:spacing w:after="0" w:line="257" w:lineRule="auto"/>
        <w:rPr>
          <w:sz w:val="20"/>
          <w:szCs w:val="20"/>
          <w:color w:val="auto"/>
        </w:rPr>
      </w:pPr>
      <w:r>
        <w:rPr>
          <w:rFonts w:ascii="Arial" w:cs="Arial" w:eastAsia="Arial" w:hAnsi="Arial"/>
          <w:sz w:val="18"/>
          <w:szCs w:val="18"/>
          <w:color w:val="auto"/>
        </w:rPr>
        <w:t>Our obligations, as well as the obligations of any applicable trustee and of any third parties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spacing w:after="0" w:line="80" w:lineRule="exact"/>
        <w:rPr>
          <w:sz w:val="20"/>
          <w:szCs w:val="20"/>
          <w:color w:val="auto"/>
        </w:rPr>
      </w:pPr>
    </w:p>
    <w:p>
      <w:pPr>
        <w:ind w:left="300" w:right="319"/>
        <w:spacing w:after="0" w:line="254" w:lineRule="auto"/>
        <w:rPr>
          <w:sz w:val="20"/>
          <w:szCs w:val="20"/>
          <w:color w:val="auto"/>
        </w:rPr>
      </w:pPr>
      <w:r>
        <w:rPr>
          <w:rFonts w:ascii="Arial" w:cs="Arial" w:eastAsia="Arial" w:hAnsi="Arial"/>
          <w:sz w:val="18"/>
          <w:szCs w:val="18"/>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we may want to obtain the approval of the holders to amend an indenture, to relieve us of the consequences of a default or of our obligation to comply with a particular provision of the indenture or for other purposes. In such an event, we would seek approval only from the holders, and not the indirect holders, of the securities. Whether and how the holders contact the indirect holders is up to the holders.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9" w:name="page50"/>
    <w:bookmarkEnd w:id="49"/>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Special Considerations for Indirect Holders</w:t>
      </w:r>
    </w:p>
    <w:p>
      <w:pPr>
        <w:spacing w:after="0" w:line="121" w:lineRule="exact"/>
        <w:rPr>
          <w:sz w:val="20"/>
          <w:szCs w:val="20"/>
          <w:color w:val="auto"/>
        </w:rPr>
      </w:pPr>
    </w:p>
    <w:p>
      <w:pPr>
        <w:ind w:left="300" w:right="739"/>
        <w:spacing w:after="0" w:line="277" w:lineRule="auto"/>
        <w:rPr>
          <w:sz w:val="20"/>
          <w:szCs w:val="20"/>
          <w:color w:val="auto"/>
        </w:rPr>
      </w:pPr>
      <w:r>
        <w:rPr>
          <w:rFonts w:ascii="Arial" w:cs="Arial" w:eastAsia="Arial" w:hAnsi="Arial"/>
          <w:sz w:val="18"/>
          <w:szCs w:val="18"/>
          <w:color w:val="auto"/>
        </w:rPr>
        <w:t>If you hold securities through a bank, broker or other financial institution, either in book-entry form or in street name, you should check with your own institution to find out:</w:t>
      </w:r>
    </w:p>
    <w:p>
      <w:pPr>
        <w:spacing w:after="0" w:line="62" w:lineRule="exact"/>
        <w:rPr>
          <w:sz w:val="20"/>
          <w:szCs w:val="20"/>
          <w:color w:val="auto"/>
        </w:rPr>
      </w:pPr>
    </w:p>
    <w:p>
      <w:pPr>
        <w:ind w:left="1020" w:hanging="368"/>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performance of third-party service providers;</w:t>
      </w:r>
    </w:p>
    <w:p>
      <w:pPr>
        <w:spacing w:after="0" w:line="117" w:lineRule="exact"/>
        <w:rPr>
          <w:rFonts w:ascii="Arial" w:cs="Arial" w:eastAsia="Arial" w:hAnsi="Arial"/>
          <w:sz w:val="18"/>
          <w:szCs w:val="18"/>
          <w:color w:val="auto"/>
        </w:rPr>
      </w:pPr>
    </w:p>
    <w:p>
      <w:pPr>
        <w:ind w:left="1020" w:hanging="368"/>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how it handles securities payments and notices;</w:t>
      </w:r>
    </w:p>
    <w:p>
      <w:pPr>
        <w:spacing w:after="0" w:line="117" w:lineRule="exact"/>
        <w:rPr>
          <w:rFonts w:ascii="Arial" w:cs="Arial" w:eastAsia="Arial" w:hAnsi="Arial"/>
          <w:sz w:val="18"/>
          <w:szCs w:val="18"/>
          <w:color w:val="auto"/>
        </w:rPr>
      </w:pPr>
    </w:p>
    <w:p>
      <w:pPr>
        <w:ind w:left="1020" w:hanging="368"/>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whether it imposes fees or charges;</w:t>
      </w:r>
    </w:p>
    <w:p>
      <w:pPr>
        <w:spacing w:after="0" w:line="117" w:lineRule="exact"/>
        <w:rPr>
          <w:rFonts w:ascii="Arial" w:cs="Arial" w:eastAsia="Arial" w:hAnsi="Arial"/>
          <w:sz w:val="18"/>
          <w:szCs w:val="18"/>
          <w:color w:val="auto"/>
        </w:rPr>
      </w:pPr>
    </w:p>
    <w:p>
      <w:pPr>
        <w:ind w:left="1020" w:hanging="368"/>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how it would handle a request for the holders’ consent, if ever required;</w:t>
      </w:r>
    </w:p>
    <w:p>
      <w:pPr>
        <w:spacing w:after="0" w:line="117" w:lineRule="exact"/>
        <w:rPr>
          <w:rFonts w:ascii="Arial" w:cs="Arial" w:eastAsia="Arial" w:hAnsi="Arial"/>
          <w:sz w:val="18"/>
          <w:szCs w:val="18"/>
          <w:color w:val="auto"/>
        </w:rPr>
      </w:pPr>
    </w:p>
    <w:p>
      <w:pPr>
        <w:ind w:left="1020" w:right="579" w:hanging="368"/>
        <w:spacing w:after="0" w:line="277"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whether and how you can instruct it to send you securities registered in your own name so you can be a holder, if that is permitted in the future;</w:t>
      </w:r>
    </w:p>
    <w:p>
      <w:pPr>
        <w:spacing w:after="0" w:line="62" w:lineRule="exact"/>
        <w:rPr>
          <w:rFonts w:ascii="Arial" w:cs="Arial" w:eastAsia="Arial" w:hAnsi="Arial"/>
          <w:sz w:val="18"/>
          <w:szCs w:val="18"/>
          <w:color w:val="auto"/>
        </w:rPr>
      </w:pPr>
    </w:p>
    <w:p>
      <w:pPr>
        <w:ind w:left="1020" w:right="459" w:hanging="368"/>
        <w:spacing w:after="0" w:line="277"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how it would exercise rights under the securities if there were a default or other event triggering the need for holders to act to protect their interests; and</w:t>
      </w:r>
    </w:p>
    <w:p>
      <w:pPr>
        <w:spacing w:after="0" w:line="62" w:lineRule="exact"/>
        <w:rPr>
          <w:rFonts w:ascii="Arial" w:cs="Arial" w:eastAsia="Arial" w:hAnsi="Arial"/>
          <w:sz w:val="18"/>
          <w:szCs w:val="18"/>
          <w:color w:val="auto"/>
        </w:rPr>
      </w:pPr>
    </w:p>
    <w:p>
      <w:pPr>
        <w:ind w:left="1020" w:hanging="368"/>
        <w:spacing w:after="0"/>
        <w:tabs>
          <w:tab w:leader="none" w:pos="10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if the securities are in book-entry form, how the depositary’s rules and procedures will affect these matters.</w:t>
      </w:r>
    </w:p>
    <w:p>
      <w:pPr>
        <w:spacing w:after="0" w:line="35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 global security is a security that represents one or any other number of individual securities held by a depositary.</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Generally, all securities represented by the same global securities will have the same terms.</w:t>
      </w:r>
    </w:p>
    <w:p>
      <w:pPr>
        <w:spacing w:after="0" w:line="103" w:lineRule="exact"/>
        <w:rPr>
          <w:sz w:val="20"/>
          <w:szCs w:val="20"/>
          <w:color w:val="auto"/>
        </w:rPr>
      </w:pPr>
    </w:p>
    <w:p>
      <w:pPr>
        <w:ind w:left="300" w:right="399"/>
        <w:spacing w:after="0" w:line="259" w:lineRule="auto"/>
        <w:rPr>
          <w:sz w:val="20"/>
          <w:szCs w:val="20"/>
          <w:color w:val="auto"/>
        </w:rPr>
      </w:pPr>
      <w:r>
        <w:rPr>
          <w:rFonts w:ascii="Arial" w:cs="Arial" w:eastAsia="Arial" w:hAnsi="Arial"/>
          <w:sz w:val="18"/>
          <w:szCs w:val="18"/>
          <w:color w:val="auto"/>
        </w:rPr>
        <w:t>Each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DTC will be the depositary for all securities issued in book-entry form.</w:t>
      </w:r>
    </w:p>
    <w:p>
      <w:pPr>
        <w:spacing w:after="0" w:line="79" w:lineRule="exact"/>
        <w:rPr>
          <w:sz w:val="20"/>
          <w:szCs w:val="20"/>
          <w:color w:val="auto"/>
        </w:rPr>
      </w:pPr>
    </w:p>
    <w:p>
      <w:pPr>
        <w:ind w:left="300" w:right="299"/>
        <w:spacing w:after="0" w:line="270" w:lineRule="auto"/>
        <w:rPr>
          <w:sz w:val="20"/>
          <w:szCs w:val="20"/>
          <w:color w:val="auto"/>
        </w:rPr>
      </w:pPr>
      <w:r>
        <w:rPr>
          <w:rFonts w:ascii="Arial" w:cs="Arial" w:eastAsia="Arial" w:hAnsi="Arial"/>
          <w:sz w:val="17"/>
          <w:szCs w:val="17"/>
          <w:color w:val="auto"/>
        </w:rPr>
        <w:t>A global security may not be transferred to or registered in the name of anyone other than the depositary, its nominee or a successor depositary, unless special termination situations arise. We describe those situations below under the section entitled “Special Situations When a Global Security Will Be Terminated” in this prospectus. As a result of these arrangements, the depositary, or its nominee, will be the sole registered owner and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holder of the security, but only an indirect holder of a beneficial interest in the global security.</w:t>
      </w:r>
    </w:p>
    <w:p>
      <w:pPr>
        <w:spacing w:after="0" w:line="73" w:lineRule="exact"/>
        <w:rPr>
          <w:sz w:val="20"/>
          <w:szCs w:val="20"/>
          <w:color w:val="auto"/>
        </w:rPr>
      </w:pPr>
    </w:p>
    <w:p>
      <w:pPr>
        <w:ind w:left="300" w:right="399"/>
        <w:spacing w:after="0" w:line="279" w:lineRule="auto"/>
        <w:rPr>
          <w:sz w:val="20"/>
          <w:szCs w:val="20"/>
          <w:color w:val="auto"/>
        </w:rPr>
      </w:pPr>
      <w:r>
        <w:rPr>
          <w:rFonts w:ascii="Arial" w:cs="Arial" w:eastAsia="Arial" w:hAnsi="Arial"/>
          <w:sz w:val="17"/>
          <w:szCs w:val="17"/>
          <w:color w:val="auto"/>
        </w:rPr>
        <w:t>If the prospectus supplement for a particular security indicates that the security will be issued in global form only,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spacing w:after="0" w:line="2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Special Considerations for Global Securities</w:t>
      </w:r>
    </w:p>
    <w:p>
      <w:pPr>
        <w:spacing w:after="0" w:line="121" w:lineRule="exact"/>
        <w:rPr>
          <w:sz w:val="20"/>
          <w:szCs w:val="20"/>
          <w:color w:val="auto"/>
        </w:rPr>
      </w:pPr>
    </w:p>
    <w:p>
      <w:pPr>
        <w:ind w:left="300" w:right="459"/>
        <w:spacing w:after="0" w:line="259" w:lineRule="auto"/>
        <w:rPr>
          <w:sz w:val="20"/>
          <w:szCs w:val="20"/>
          <w:color w:val="auto"/>
        </w:rPr>
      </w:pPr>
      <w:r>
        <w:rPr>
          <w:rFonts w:ascii="Arial" w:cs="Arial" w:eastAsia="Arial" w:hAnsi="Arial"/>
          <w:sz w:val="18"/>
          <w:szCs w:val="18"/>
          <w:color w:val="auto"/>
        </w:rPr>
        <w:t>The rights of an indirect holder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p>
    <w:p>
      <w:pPr>
        <w:spacing w:after="0" w:line="11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If securities are issued only in the form of a global security, an investor should be aware of the following:</w:t>
      </w:r>
    </w:p>
    <w:p>
      <w:pPr>
        <w:spacing w:after="0" w:line="117" w:lineRule="exact"/>
        <w:rPr>
          <w:sz w:val="20"/>
          <w:szCs w:val="20"/>
          <w:color w:val="auto"/>
        </w:rPr>
      </w:pPr>
    </w:p>
    <w:p>
      <w:pPr>
        <w:ind w:left="1020" w:right="559" w:hanging="368"/>
        <w:spacing w:after="0" w:line="342" w:lineRule="auto"/>
        <w:tabs>
          <w:tab w:leader="none" w:pos="10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an investor cannot cause the securities to be registered in his or her name, and cannot obtain non-global certificates for his or her interest in the securities, except in the special situations we describe below;</w:t>
      </w:r>
    </w:p>
    <w:p>
      <w:pPr>
        <w:spacing w:after="0" w:line="15" w:lineRule="exact"/>
        <w:rPr>
          <w:rFonts w:ascii="Arial" w:cs="Arial" w:eastAsia="Arial" w:hAnsi="Arial"/>
          <w:sz w:val="16"/>
          <w:szCs w:val="16"/>
          <w:color w:val="auto"/>
        </w:rPr>
      </w:pPr>
    </w:p>
    <w:p>
      <w:pPr>
        <w:ind w:left="1020" w:right="439" w:hanging="368"/>
        <w:spacing w:after="0" w:line="342" w:lineRule="auto"/>
        <w:tabs>
          <w:tab w:leader="none" w:pos="10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an investor will be an indirect holder and must look to his or her own bank or broker for payments on the securities and protection of his or her legal rights relating to the securities, as we describe above;</w:t>
      </w:r>
    </w:p>
    <w:p>
      <w:pPr>
        <w:spacing w:after="0" w:line="15" w:lineRule="exact"/>
        <w:rPr>
          <w:rFonts w:ascii="Arial" w:cs="Arial" w:eastAsia="Arial" w:hAnsi="Arial"/>
          <w:sz w:val="16"/>
          <w:szCs w:val="16"/>
          <w:color w:val="auto"/>
        </w:rPr>
      </w:pPr>
    </w:p>
    <w:p>
      <w:pPr>
        <w:ind w:left="1020" w:right="659" w:hanging="368"/>
        <w:spacing w:after="0" w:line="308" w:lineRule="auto"/>
        <w:tabs>
          <w:tab w:leader="none" w:pos="10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an investor may not be able to sell interests in the securities to some insurance companies and to other institutions that are required by law to own their securities in non-book-entry form;</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0" w:name="page51"/>
    <w:bookmarkEnd w:id="50"/>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1020" w:right="399" w:hanging="368"/>
        <w:spacing w:after="0" w:line="263"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investor may not be able to pledge his or her interest in a global security in circumstances where certificates representing the securities must be delivered to the lender or other beneficiary of the pledge in order for the pledge to be effective;</w:t>
      </w:r>
    </w:p>
    <w:p>
      <w:pPr>
        <w:spacing w:after="0" w:line="75" w:lineRule="exact"/>
        <w:rPr>
          <w:rFonts w:ascii="Arial" w:cs="Arial" w:eastAsia="Arial" w:hAnsi="Arial"/>
          <w:sz w:val="18"/>
          <w:szCs w:val="18"/>
          <w:color w:val="auto"/>
        </w:rPr>
      </w:pPr>
    </w:p>
    <w:p>
      <w:pPr>
        <w:ind w:left="1020" w:right="319" w:hanging="368"/>
        <w:spacing w:after="0" w:line="277"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depositary’s policies, which may change from time to time, will govern payments, transfers, exchanges and other matters relating to an investor’s interest in a global security;</w:t>
      </w:r>
    </w:p>
    <w:p>
      <w:pPr>
        <w:spacing w:after="0" w:line="62" w:lineRule="exact"/>
        <w:rPr>
          <w:rFonts w:ascii="Arial" w:cs="Arial" w:eastAsia="Arial" w:hAnsi="Arial"/>
          <w:sz w:val="18"/>
          <w:szCs w:val="18"/>
          <w:color w:val="auto"/>
        </w:rPr>
      </w:pPr>
    </w:p>
    <w:p>
      <w:pPr>
        <w:ind w:left="1020" w:right="599" w:hanging="368"/>
        <w:spacing w:after="0" w:line="263"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and any applicable trustee have no responsibility for any aspect of the depositary’s actions or for its records of ownership interests in a global security, nor do we or any applicable trustee supervise the depositary in any way;</w:t>
      </w:r>
    </w:p>
    <w:p>
      <w:pPr>
        <w:spacing w:after="0" w:line="75" w:lineRule="exact"/>
        <w:rPr>
          <w:rFonts w:ascii="Arial" w:cs="Arial" w:eastAsia="Arial" w:hAnsi="Arial"/>
          <w:sz w:val="18"/>
          <w:szCs w:val="18"/>
          <w:color w:val="auto"/>
        </w:rPr>
      </w:pPr>
    </w:p>
    <w:p>
      <w:pPr>
        <w:ind w:left="1020" w:right="359" w:hanging="368"/>
        <w:spacing w:after="0" w:line="263"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depositary may, and we understand that DTC will, require that those who purchase and sell interests in a global security within its book-entry system use immediately available funds, and your broker or bank may require you to do so as well; and</w:t>
      </w:r>
    </w:p>
    <w:p>
      <w:pPr>
        <w:spacing w:after="0" w:line="75" w:lineRule="exact"/>
        <w:rPr>
          <w:rFonts w:ascii="Arial" w:cs="Arial" w:eastAsia="Arial" w:hAnsi="Arial"/>
          <w:sz w:val="18"/>
          <w:szCs w:val="18"/>
          <w:color w:val="auto"/>
        </w:rPr>
      </w:pPr>
    </w:p>
    <w:p>
      <w:pPr>
        <w:ind w:left="1020" w:right="399" w:hanging="368"/>
        <w:spacing w:after="0" w:line="263"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financial institutions that participate in the depositary’s book-entry system, and through which an investor holds its interest in a global security, may also have their own policies affecting payments, notices and other matters relating to the securities.</w:t>
      </w:r>
    </w:p>
    <w:p>
      <w:pPr>
        <w:spacing w:after="0" w:line="76" w:lineRule="exact"/>
        <w:rPr>
          <w:sz w:val="20"/>
          <w:szCs w:val="20"/>
          <w:color w:val="auto"/>
        </w:rPr>
      </w:pPr>
    </w:p>
    <w:p>
      <w:pPr>
        <w:ind w:left="300" w:right="319"/>
        <w:spacing w:after="0" w:line="277" w:lineRule="auto"/>
        <w:rPr>
          <w:sz w:val="20"/>
          <w:szCs w:val="20"/>
          <w:color w:val="auto"/>
        </w:rPr>
      </w:pPr>
      <w:r>
        <w:rPr>
          <w:rFonts w:ascii="Arial" w:cs="Arial" w:eastAsia="Arial" w:hAnsi="Arial"/>
          <w:sz w:val="18"/>
          <w:szCs w:val="18"/>
          <w:color w:val="auto"/>
        </w:rPr>
        <w:t>There may be more than one financial intermediary in the chain of ownership for an investor. We do not monitor and are not responsible for the actions of any of those intermediaries.</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Special Situations When a Global Security Will Be Terminated</w:t>
      </w:r>
    </w:p>
    <w:p>
      <w:pPr>
        <w:spacing w:after="0" w:line="121" w:lineRule="exact"/>
        <w:rPr>
          <w:sz w:val="20"/>
          <w:szCs w:val="20"/>
          <w:color w:val="auto"/>
        </w:rPr>
      </w:pPr>
    </w:p>
    <w:p>
      <w:pPr>
        <w:jc w:val="both"/>
        <w:ind w:left="300" w:right="559"/>
        <w:spacing w:after="0" w:line="275" w:lineRule="auto"/>
        <w:rPr>
          <w:sz w:val="20"/>
          <w:szCs w:val="20"/>
          <w:color w:val="auto"/>
        </w:rPr>
      </w:pPr>
      <w:r>
        <w:rPr>
          <w:rFonts w:ascii="Arial" w:cs="Arial" w:eastAsia="Arial" w:hAnsi="Arial"/>
          <w:sz w:val="17"/>
          <w:szCs w:val="17"/>
          <w:color w:val="auto"/>
        </w:rPr>
        <w:t>In a few special situations described below, the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 so that they will be direct holders. We have described the rights of holders and street name investors above.</w:t>
      </w:r>
    </w:p>
    <w:p>
      <w:pPr>
        <w:spacing w:after="0" w:line="68" w:lineRule="exact"/>
        <w:rPr>
          <w:sz w:val="20"/>
          <w:szCs w:val="20"/>
          <w:color w:val="auto"/>
        </w:rPr>
      </w:pPr>
    </w:p>
    <w:p>
      <w:pPr>
        <w:ind w:left="1020" w:right="539" w:hanging="368"/>
        <w:spacing w:after="0" w:line="277" w:lineRule="auto"/>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Unless we provide otherwise in the applicable prospectus supplement, the global security will terminate when the following special situations occur:</w:t>
      </w:r>
    </w:p>
    <w:p>
      <w:pPr>
        <w:spacing w:after="0" w:line="62" w:lineRule="exact"/>
        <w:rPr>
          <w:rFonts w:ascii="Arial" w:cs="Arial" w:eastAsia="Arial" w:hAnsi="Arial"/>
          <w:sz w:val="18"/>
          <w:szCs w:val="18"/>
          <w:color w:val="auto"/>
        </w:rPr>
      </w:pPr>
    </w:p>
    <w:p>
      <w:pPr>
        <w:ind w:left="1020" w:right="419" w:hanging="368"/>
        <w:spacing w:after="0" w:line="308" w:lineRule="auto"/>
        <w:tabs>
          <w:tab w:leader="none" w:pos="10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if the depositary notifies us that it is unwilling, unable or no longer qualified to continue as depositary for that global security and we do not appoint another institution to act as depositary within 90 days;</w:t>
      </w:r>
    </w:p>
    <w:p>
      <w:pPr>
        <w:spacing w:after="0" w:line="38" w:lineRule="exact"/>
        <w:rPr>
          <w:rFonts w:ascii="Arial" w:cs="Arial" w:eastAsia="Arial" w:hAnsi="Arial"/>
          <w:sz w:val="17"/>
          <w:szCs w:val="17"/>
          <w:color w:val="auto"/>
        </w:rPr>
      </w:pPr>
    </w:p>
    <w:p>
      <w:pPr>
        <w:ind w:left="1020" w:hanging="368"/>
        <w:spacing w:after="0"/>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we notify any applicable trustee that we wish to terminate that global security; or</w:t>
      </w:r>
    </w:p>
    <w:p>
      <w:pPr>
        <w:spacing w:after="0" w:line="117" w:lineRule="exact"/>
        <w:rPr>
          <w:sz w:val="20"/>
          <w:szCs w:val="20"/>
          <w:color w:val="auto"/>
        </w:rPr>
      </w:pPr>
    </w:p>
    <w:p>
      <w:pPr>
        <w:ind w:left="300" w:right="719"/>
        <w:spacing w:after="0" w:line="277" w:lineRule="auto"/>
        <w:rPr>
          <w:sz w:val="20"/>
          <w:szCs w:val="20"/>
          <w:color w:val="auto"/>
        </w:rPr>
      </w:pPr>
      <w:r>
        <w:rPr>
          <w:rFonts w:ascii="Arial" w:cs="Arial" w:eastAsia="Arial" w:hAnsi="Arial"/>
          <w:sz w:val="18"/>
          <w:szCs w:val="18"/>
          <w:color w:val="auto"/>
        </w:rPr>
        <w:t>if an event of default has occurred with regard to securities represented by that global security and has not been cured or waived.</w:t>
      </w:r>
    </w:p>
    <w:p>
      <w:pPr>
        <w:spacing w:after="0" w:line="62" w:lineRule="exact"/>
        <w:rPr>
          <w:sz w:val="20"/>
          <w:szCs w:val="20"/>
          <w:color w:val="auto"/>
        </w:rPr>
      </w:pPr>
    </w:p>
    <w:p>
      <w:pPr>
        <w:ind w:left="300" w:right="339"/>
        <w:spacing w:after="0" w:line="259" w:lineRule="auto"/>
        <w:rPr>
          <w:sz w:val="20"/>
          <w:szCs w:val="20"/>
          <w:color w:val="auto"/>
        </w:rPr>
      </w:pPr>
      <w:r>
        <w:rPr>
          <w:rFonts w:ascii="Arial" w:cs="Arial" w:eastAsia="Arial" w:hAnsi="Arial"/>
          <w:sz w:val="18"/>
          <w:szCs w:val="18"/>
          <w:color w:val="auto"/>
        </w:rPr>
        <w:t>The applicable prospectus supplement may also list additional situations for terminating a global security that would apply only to the particular series of securities covered by the applicable prospectus supplement. When a global security terminates, the depositary, and not we or any applicable trustee, is responsible for deciding the names of the institutions that will be the initial direct holders.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SECURITYHOLDERS</w:t>
      </w:r>
    </w:p>
    <w:p>
      <w:pPr>
        <w:spacing w:after="0" w:line="121" w:lineRule="exact"/>
        <w:rPr>
          <w:sz w:val="20"/>
          <w:szCs w:val="20"/>
          <w:color w:val="auto"/>
        </w:rPr>
      </w:pPr>
    </w:p>
    <w:p>
      <w:pPr>
        <w:ind w:left="300" w:right="459"/>
        <w:spacing w:after="0" w:line="296" w:lineRule="auto"/>
        <w:rPr>
          <w:sz w:val="20"/>
          <w:szCs w:val="20"/>
          <w:color w:val="auto"/>
        </w:rPr>
      </w:pPr>
      <w:r>
        <w:rPr>
          <w:rFonts w:ascii="Arial" w:cs="Arial" w:eastAsia="Arial" w:hAnsi="Arial"/>
          <w:sz w:val="16"/>
          <w:szCs w:val="16"/>
          <w:color w:val="auto"/>
        </w:rPr>
        <w:t>Selling securityholders are persons or entities that, directly or indirectly, have acquired or will from time to time acquire from us, our securities. If the registration statement of which this prospectus forms a part is used by selling securityholders for the resale of any securities registered thereunder pursuant to a registration rights agreement between us and such selling securityholders or otherwise, information about such selling securityholders, their beneficial ownership of our securities and their relationship with us will be set forth in a prospectus supplement.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1" w:name="page52"/>
    <w:bookmarkEnd w:id="51"/>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121" w:lineRule="exact"/>
        <w:rPr>
          <w:sz w:val="20"/>
          <w:szCs w:val="20"/>
          <w:color w:val="auto"/>
        </w:rPr>
      </w:pPr>
    </w:p>
    <w:p>
      <w:pPr>
        <w:ind w:left="300" w:right="319"/>
        <w:spacing w:after="0" w:line="257" w:lineRule="auto"/>
        <w:rPr>
          <w:sz w:val="20"/>
          <w:szCs w:val="20"/>
          <w:color w:val="auto"/>
        </w:rPr>
      </w:pPr>
      <w:r>
        <w:rPr>
          <w:rFonts w:ascii="Arial" w:cs="Arial" w:eastAsia="Arial" w:hAnsi="Arial"/>
          <w:sz w:val="18"/>
          <w:szCs w:val="18"/>
          <w:color w:val="auto"/>
        </w:rPr>
        <w:t>We or selling securityholders may sell the securities from time to time pursuant to underwritten public offerings, “at-the-market” offerings, negotiated transactions, block trades or a combination of these methods. We or selling securityholders may sell the securities to or through one or more underwriters or dealers (acting as principal or agent), through agents, or directly to one or more purchasers. We or selling securityholders may distribute securities from time to time in one or more transactions:</w:t>
      </w:r>
    </w:p>
    <w:p>
      <w:pPr>
        <w:spacing w:after="0" w:line="80" w:lineRule="exact"/>
        <w:rPr>
          <w:sz w:val="20"/>
          <w:szCs w:val="20"/>
          <w:color w:val="auto"/>
        </w:rPr>
      </w:pPr>
    </w:p>
    <w:p>
      <w:pPr>
        <w:ind w:left="1020" w:hanging="368"/>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117" w:lineRule="exact"/>
        <w:rPr>
          <w:rFonts w:ascii="Arial" w:cs="Arial" w:eastAsia="Arial" w:hAnsi="Arial"/>
          <w:sz w:val="18"/>
          <w:szCs w:val="18"/>
          <w:color w:val="auto"/>
        </w:rPr>
      </w:pPr>
    </w:p>
    <w:p>
      <w:pPr>
        <w:ind w:left="1020" w:hanging="368"/>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17" w:lineRule="exact"/>
        <w:rPr>
          <w:rFonts w:ascii="Arial" w:cs="Arial" w:eastAsia="Arial" w:hAnsi="Arial"/>
          <w:sz w:val="18"/>
          <w:szCs w:val="18"/>
          <w:color w:val="auto"/>
        </w:rPr>
      </w:pPr>
    </w:p>
    <w:p>
      <w:pPr>
        <w:ind w:left="1020" w:hanging="368"/>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117" w:lineRule="exact"/>
        <w:rPr>
          <w:rFonts w:ascii="Arial" w:cs="Arial" w:eastAsia="Arial" w:hAnsi="Arial"/>
          <w:sz w:val="18"/>
          <w:szCs w:val="18"/>
          <w:color w:val="auto"/>
        </w:rPr>
      </w:pPr>
    </w:p>
    <w:p>
      <w:pPr>
        <w:ind w:left="1020" w:hanging="368"/>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117" w:lineRule="exact"/>
        <w:rPr>
          <w:sz w:val="20"/>
          <w:szCs w:val="20"/>
          <w:color w:val="auto"/>
        </w:rPr>
      </w:pPr>
    </w:p>
    <w:p>
      <w:pPr>
        <w:ind w:left="300" w:right="839"/>
        <w:spacing w:after="0" w:line="342" w:lineRule="auto"/>
        <w:rPr>
          <w:sz w:val="20"/>
          <w:szCs w:val="20"/>
          <w:color w:val="auto"/>
        </w:rPr>
      </w:pPr>
      <w:r>
        <w:rPr>
          <w:rFonts w:ascii="Arial" w:cs="Arial" w:eastAsia="Arial" w:hAnsi="Arial"/>
          <w:sz w:val="16"/>
          <w:szCs w:val="16"/>
          <w:color w:val="auto"/>
        </w:rPr>
        <w:t>A prospectus supplement or supplements (and any related free writing prospectus that we may authorize to be provided to you) will describe the terms of the offering of the securities, including, to the extent applicable:</w:t>
      </w:r>
    </w:p>
    <w:p>
      <w:pPr>
        <w:spacing w:after="0" w:line="16" w:lineRule="exact"/>
        <w:rPr>
          <w:sz w:val="20"/>
          <w:szCs w:val="20"/>
          <w:color w:val="auto"/>
        </w:rPr>
      </w:pPr>
    </w:p>
    <w:p>
      <w:pPr>
        <w:ind w:left="1020" w:hanging="368"/>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name or names of the underwriters, dealers or agents, if any;</w:t>
      </w:r>
    </w:p>
    <w:p>
      <w:pPr>
        <w:spacing w:after="0" w:line="117" w:lineRule="exact"/>
        <w:rPr>
          <w:rFonts w:ascii="Arial" w:cs="Arial" w:eastAsia="Arial" w:hAnsi="Arial"/>
          <w:sz w:val="18"/>
          <w:szCs w:val="18"/>
          <w:color w:val="auto"/>
        </w:rPr>
      </w:pPr>
    </w:p>
    <w:p>
      <w:pPr>
        <w:ind w:left="1020" w:hanging="368"/>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name or names of the selling securityholders, if any;</w:t>
      </w:r>
    </w:p>
    <w:p>
      <w:pPr>
        <w:spacing w:after="0" w:line="117" w:lineRule="exact"/>
        <w:rPr>
          <w:rFonts w:ascii="Arial" w:cs="Arial" w:eastAsia="Arial" w:hAnsi="Arial"/>
          <w:sz w:val="18"/>
          <w:szCs w:val="18"/>
          <w:color w:val="auto"/>
        </w:rPr>
      </w:pPr>
    </w:p>
    <w:p>
      <w:pPr>
        <w:ind w:left="1020" w:right="859" w:hanging="368"/>
        <w:spacing w:after="0" w:line="277" w:lineRule="auto"/>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purchase price of the securities or other consideration therefor, and the proceeds, if any, we will receive from the sale;</w:t>
      </w:r>
    </w:p>
    <w:p>
      <w:pPr>
        <w:spacing w:after="0" w:line="62" w:lineRule="exact"/>
        <w:rPr>
          <w:rFonts w:ascii="Arial" w:cs="Arial" w:eastAsia="Arial" w:hAnsi="Arial"/>
          <w:sz w:val="18"/>
          <w:szCs w:val="18"/>
          <w:color w:val="auto"/>
        </w:rPr>
      </w:pPr>
    </w:p>
    <w:p>
      <w:pPr>
        <w:ind w:left="1020" w:right="439" w:hanging="368"/>
        <w:spacing w:after="0" w:line="277" w:lineRule="auto"/>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over-allotment or other options under which underwriters may purchase additional securities from us or any selling securityholders;</w:t>
      </w:r>
    </w:p>
    <w:p>
      <w:pPr>
        <w:spacing w:after="0" w:line="62" w:lineRule="exact"/>
        <w:rPr>
          <w:rFonts w:ascii="Arial" w:cs="Arial" w:eastAsia="Arial" w:hAnsi="Arial"/>
          <w:sz w:val="18"/>
          <w:szCs w:val="18"/>
          <w:color w:val="auto"/>
        </w:rPr>
      </w:pPr>
    </w:p>
    <w:p>
      <w:pPr>
        <w:ind w:left="1020" w:right="1159" w:hanging="368"/>
        <w:spacing w:after="0" w:line="277" w:lineRule="auto"/>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agency fees or underwriting discounts and other items constituting agents’ or underwriters’ compensation;</w:t>
      </w:r>
    </w:p>
    <w:p>
      <w:pPr>
        <w:spacing w:after="0" w:line="62" w:lineRule="exact"/>
        <w:rPr>
          <w:rFonts w:ascii="Arial" w:cs="Arial" w:eastAsia="Arial" w:hAnsi="Arial"/>
          <w:sz w:val="18"/>
          <w:szCs w:val="18"/>
          <w:color w:val="auto"/>
        </w:rPr>
      </w:pPr>
    </w:p>
    <w:p>
      <w:pPr>
        <w:ind w:left="1020" w:hanging="368"/>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public offering price;</w:t>
      </w:r>
    </w:p>
    <w:p>
      <w:pPr>
        <w:spacing w:after="0" w:line="117" w:lineRule="exact"/>
        <w:rPr>
          <w:rFonts w:ascii="Arial" w:cs="Arial" w:eastAsia="Arial" w:hAnsi="Arial"/>
          <w:sz w:val="18"/>
          <w:szCs w:val="18"/>
          <w:color w:val="auto"/>
        </w:rPr>
      </w:pPr>
    </w:p>
    <w:p>
      <w:pPr>
        <w:ind w:left="1020" w:hanging="368"/>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117" w:lineRule="exact"/>
        <w:rPr>
          <w:rFonts w:ascii="Arial" w:cs="Arial" w:eastAsia="Arial" w:hAnsi="Arial"/>
          <w:sz w:val="18"/>
          <w:szCs w:val="18"/>
          <w:color w:val="auto"/>
        </w:rPr>
      </w:pPr>
    </w:p>
    <w:p>
      <w:pPr>
        <w:ind w:left="1020" w:hanging="368"/>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securities exchange or market on which the securities may be listed.</w:t>
      </w:r>
    </w:p>
    <w:p>
      <w:pPr>
        <w:spacing w:after="0" w:line="117" w:lineRule="exact"/>
        <w:rPr>
          <w:sz w:val="20"/>
          <w:szCs w:val="20"/>
          <w:color w:val="auto"/>
        </w:rPr>
      </w:pPr>
    </w:p>
    <w:p>
      <w:pPr>
        <w:ind w:left="300" w:right="299"/>
        <w:spacing w:after="0" w:line="257" w:lineRule="auto"/>
        <w:rPr>
          <w:sz w:val="20"/>
          <w:szCs w:val="20"/>
          <w:color w:val="auto"/>
        </w:rPr>
      </w:pPr>
      <w:r>
        <w:rPr>
          <w:rFonts w:ascii="Arial" w:cs="Arial" w:eastAsia="Arial" w:hAnsi="Arial"/>
          <w:sz w:val="18"/>
          <w:szCs w:val="18"/>
          <w:color w:val="auto"/>
        </w:rPr>
        <w:t>Only underwriters named in the prospectus supplement will be underwriters of the securities offered by the prospectus supplement.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spacing w:after="0" w:line="80" w:lineRule="exact"/>
        <w:rPr>
          <w:sz w:val="20"/>
          <w:szCs w:val="20"/>
          <w:color w:val="auto"/>
        </w:rPr>
      </w:pPr>
    </w:p>
    <w:p>
      <w:pPr>
        <w:ind w:left="300" w:right="339"/>
        <w:spacing w:after="0" w:line="311" w:lineRule="auto"/>
        <w:rPr>
          <w:sz w:val="20"/>
          <w:szCs w:val="20"/>
          <w:color w:val="auto"/>
        </w:rPr>
      </w:pPr>
      <w:r>
        <w:rPr>
          <w:rFonts w:ascii="Arial" w:cs="Arial" w:eastAsia="Arial" w:hAnsi="Arial"/>
          <w:sz w:val="16"/>
          <w:szCs w:val="16"/>
          <w:color w:val="auto"/>
        </w:rPr>
        <w:t>Unless stated otherwise in the prospectus supplement, the securities offered by a prospectus supplement have not been qualified for distribution by prospectus under the securities laws of any province or territory of Canada, and may only be sold in Canada pursuant to an exemption from the prospectus requirements of Canadian securities laws.</w:t>
      </w:r>
    </w:p>
    <w:p>
      <w:pPr>
        <w:spacing w:after="0" w:line="41" w:lineRule="exact"/>
        <w:rPr>
          <w:sz w:val="20"/>
          <w:szCs w:val="20"/>
          <w:color w:val="auto"/>
        </w:rPr>
      </w:pPr>
    </w:p>
    <w:p>
      <w:pPr>
        <w:ind w:left="300" w:right="319"/>
        <w:spacing w:after="0" w:line="269" w:lineRule="auto"/>
        <w:rPr>
          <w:sz w:val="20"/>
          <w:szCs w:val="20"/>
          <w:color w:val="auto"/>
        </w:rPr>
      </w:pPr>
      <w:r>
        <w:rPr>
          <w:rFonts w:ascii="Arial" w:cs="Arial" w:eastAsia="Arial" w:hAnsi="Arial"/>
          <w:sz w:val="17"/>
          <w:szCs w:val="17"/>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or selling securityholders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over-allotment option. If a dealer is used in the sale of securities, we, a selling stockholder,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 Any public offering price and any discounts or concessions allowed or re-allowed or paid to dealers may change from time to time.</w:t>
      </w:r>
    </w:p>
    <w:p>
      <w:pPr>
        <w:spacing w:after="0" w:line="71" w:lineRule="exact"/>
        <w:rPr>
          <w:sz w:val="20"/>
          <w:szCs w:val="20"/>
          <w:color w:val="auto"/>
        </w:rPr>
      </w:pPr>
    </w:p>
    <w:p>
      <w:pPr>
        <w:ind w:left="300" w:right="539"/>
        <w:spacing w:after="0" w:line="263" w:lineRule="auto"/>
        <w:rPr>
          <w:sz w:val="20"/>
          <w:szCs w:val="20"/>
          <w:color w:val="auto"/>
        </w:rPr>
      </w:pPr>
      <w:r>
        <w:rPr>
          <w:rFonts w:ascii="Arial" w:cs="Arial" w:eastAsia="Arial" w:hAnsi="Arial"/>
          <w:sz w:val="18"/>
          <w:szCs w:val="18"/>
          <w:color w:val="auto"/>
        </w:rPr>
        <w:t>We or selling securityholders may use underwriters, dealers or agents with whom we have a material relationship. We will describe in the prospectus supplement, naming the underwriter, dealer or agent, the nature of any such relationship.</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2" w:name="page53"/>
    <w:bookmarkEnd w:id="52"/>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399"/>
        <w:spacing w:after="0" w:line="259" w:lineRule="auto"/>
        <w:rPr>
          <w:sz w:val="20"/>
          <w:szCs w:val="20"/>
          <w:color w:val="auto"/>
        </w:rPr>
      </w:pPr>
      <w:r>
        <w:rPr>
          <w:rFonts w:ascii="Arial" w:cs="Arial" w:eastAsia="Arial" w:hAnsi="Arial"/>
          <w:sz w:val="18"/>
          <w:szCs w:val="18"/>
          <w:color w:val="auto"/>
        </w:rPr>
        <w:t>We or selling securityholders may sell securities directly or through agents we designate from time to time. We will name any agent involved in the offering and sale of securities and we will describe any commissions payable to the agent in the prospectus supplement. Unless the prospectus supplement states otherwise, the agent will act on a best-efforts basis for the period of its appointment.</w:t>
      </w:r>
    </w:p>
    <w:p>
      <w:pPr>
        <w:spacing w:after="0" w:line="79" w:lineRule="exact"/>
        <w:rPr>
          <w:sz w:val="20"/>
          <w:szCs w:val="20"/>
          <w:color w:val="auto"/>
        </w:rPr>
      </w:pPr>
    </w:p>
    <w:p>
      <w:pPr>
        <w:ind w:left="300" w:right="359"/>
        <w:spacing w:after="0" w:line="259" w:lineRule="auto"/>
        <w:rPr>
          <w:sz w:val="20"/>
          <w:szCs w:val="20"/>
          <w:color w:val="auto"/>
        </w:rPr>
      </w:pPr>
      <w:r>
        <w:rPr>
          <w:rFonts w:ascii="Arial" w:cs="Arial" w:eastAsia="Arial" w:hAnsi="Arial"/>
          <w:sz w:val="18"/>
          <w:szCs w:val="18"/>
          <w:color w:val="auto"/>
        </w:rPr>
        <w:t>We may provide agents, underwriters and dealers with indemnification against civil liabilities, including liabilities under the Securities Act, or contribution with respect to payments that the agents, underwriters or dealers may make with respect to these liabilities. Agents, underwriters and dealers, or their affiliates, may engage in transactions with, or perform services for, us in the ordinary course of business.</w:t>
      </w:r>
    </w:p>
    <w:p>
      <w:pPr>
        <w:spacing w:after="0" w:line="79" w:lineRule="exact"/>
        <w:rPr>
          <w:sz w:val="20"/>
          <w:szCs w:val="20"/>
          <w:color w:val="auto"/>
        </w:rPr>
      </w:pPr>
    </w:p>
    <w:p>
      <w:pPr>
        <w:ind w:left="300" w:right="399"/>
        <w:spacing w:after="0" w:line="263" w:lineRule="auto"/>
        <w:rPr>
          <w:sz w:val="20"/>
          <w:szCs w:val="20"/>
          <w:color w:val="auto"/>
        </w:rPr>
      </w:pPr>
      <w:r>
        <w:rPr>
          <w:rFonts w:ascii="Arial" w:cs="Arial" w:eastAsia="Arial" w:hAnsi="Arial"/>
          <w:sz w:val="18"/>
          <w:szCs w:val="18"/>
          <w:color w:val="auto"/>
        </w:rPr>
        <w:t>Selling securityholders may be deemed to be underwriters under the Securities Act in connection with the securities they resell and any profits on the sales may be deemed to be underwriting discounts and commissions under the Securities Act.</w:t>
      </w:r>
    </w:p>
    <w:p>
      <w:pPr>
        <w:spacing w:after="0" w:line="76" w:lineRule="exact"/>
        <w:rPr>
          <w:sz w:val="20"/>
          <w:szCs w:val="20"/>
          <w:color w:val="auto"/>
        </w:rPr>
      </w:pPr>
    </w:p>
    <w:p>
      <w:pPr>
        <w:ind w:left="300" w:right="399"/>
        <w:spacing w:after="0" w:line="259" w:lineRule="auto"/>
        <w:rPr>
          <w:sz w:val="20"/>
          <w:szCs w:val="20"/>
          <w:color w:val="auto"/>
        </w:rPr>
      </w:pPr>
      <w:r>
        <w:rPr>
          <w:rFonts w:ascii="Arial" w:cs="Arial" w:eastAsia="Arial" w:hAnsi="Arial"/>
          <w:sz w:val="18"/>
          <w:szCs w:val="18"/>
          <w:color w:val="auto"/>
        </w:rPr>
        <w:t>All securities we may offer, other than Class 2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spacing w:after="0" w:line="79" w:lineRule="exact"/>
        <w:rPr>
          <w:sz w:val="20"/>
          <w:szCs w:val="20"/>
          <w:color w:val="auto"/>
        </w:rPr>
      </w:pPr>
    </w:p>
    <w:p>
      <w:pPr>
        <w:ind w:left="300" w:right="319"/>
        <w:spacing w:after="0" w:line="289" w:lineRule="auto"/>
        <w:rPr>
          <w:sz w:val="20"/>
          <w:szCs w:val="20"/>
          <w:color w:val="auto"/>
        </w:rPr>
      </w:pPr>
      <w:r>
        <w:rPr>
          <w:rFonts w:ascii="Arial" w:cs="Arial" w:eastAsia="Arial" w:hAnsi="Arial"/>
          <w:sz w:val="16"/>
          <w:szCs w:val="16"/>
          <w:color w:val="auto"/>
        </w:rPr>
        <w:t>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over-allotment option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58" w:lineRule="exact"/>
        <w:rPr>
          <w:sz w:val="20"/>
          <w:szCs w:val="20"/>
          <w:color w:val="auto"/>
        </w:rPr>
      </w:pPr>
    </w:p>
    <w:p>
      <w:pPr>
        <w:ind w:left="300" w:right="339"/>
        <w:spacing w:after="0" w:line="269" w:lineRule="auto"/>
        <w:rPr>
          <w:sz w:val="20"/>
          <w:szCs w:val="20"/>
          <w:color w:val="auto"/>
        </w:rPr>
      </w:pPr>
      <w:r>
        <w:rPr>
          <w:rFonts w:ascii="Arial" w:cs="Arial" w:eastAsia="Arial" w:hAnsi="Arial"/>
          <w:sz w:val="17"/>
          <w:szCs w:val="17"/>
          <w:color w:val="auto"/>
        </w:rPr>
        <w:t>Any underwriters that are qualified market makers on The Nasdaq Global Select Market may engage in passive market making transactions in the Class 2 common stock on The Nasdaq Global Select Market in accordance with Regulation M under the Exchange Act, during the business day prior to the pricing of the offering, before the commencement of offers or sales of the Class 2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left="300" w:right="419"/>
        <w:spacing w:after="0" w:line="279" w:lineRule="auto"/>
        <w:rPr>
          <w:sz w:val="20"/>
          <w:szCs w:val="20"/>
          <w:color w:val="auto"/>
        </w:rPr>
      </w:pPr>
      <w:r>
        <w:rPr>
          <w:rFonts w:ascii="Arial" w:cs="Arial" w:eastAsia="Arial" w:hAnsi="Arial"/>
          <w:sz w:val="17"/>
          <w:szCs w:val="17"/>
          <w:color w:val="auto"/>
        </w:rPr>
        <w:t>Unless otherwise indicated in the applicable prospectus supplement, the validity of the securities offered by this prospectus, and any supplement thereto, will be passed upon for us by DLA Piper LLP (US), New York, New York. Any underwriters, dealers or agents will also be advised about the validity of the securities and other legal matters by their own counsel, which will be named in the applicable prospectus supplement.</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ind w:left="300" w:right="339"/>
        <w:spacing w:after="0" w:line="271" w:lineRule="auto"/>
        <w:rPr>
          <w:sz w:val="20"/>
          <w:szCs w:val="20"/>
          <w:color w:val="auto"/>
        </w:rPr>
      </w:pPr>
      <w:r>
        <w:rPr>
          <w:rFonts w:ascii="Arial" w:cs="Arial" w:eastAsia="Arial" w:hAnsi="Arial"/>
          <w:sz w:val="17"/>
          <w:szCs w:val="17"/>
          <w:color w:val="auto"/>
        </w:rPr>
        <w:t>The financial statements and management’s assessment of the effectiveness of internal control over financial reporting (which is included in Management’s Report on Internal Control over Financial Reporting) incorporated by reference in this Prospectus by reference to the Annual Report on Form 10-K for the year ended May 31, 2022, as amended by Amendment No. 1 to our Annual Report on Form 10-K, have been so incorporated in reliance on the report (which contains a paragraph relating to the effectiveness of internal control over financial reporting due to the exclusion of Breckenridge because it was acquired by the Company in a purchase business combination during the year ended May 31, 2022) of PricewaterhouseCoopers LLP, an independent registered public accounting firm, given on the authority of said firm as experts in auditing and accounting.</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3" w:name="page54"/>
    <w:bookmarkEnd w:id="53"/>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ind w:left="300" w:right="379"/>
        <w:spacing w:after="0" w:line="255" w:lineRule="auto"/>
        <w:rPr>
          <w:sz w:val="20"/>
          <w:szCs w:val="20"/>
          <w:color w:val="auto"/>
        </w:rPr>
      </w:pPr>
      <w:r>
        <w:rPr>
          <w:rFonts w:ascii="Arial" w:cs="Arial" w:eastAsia="Arial" w:hAnsi="Arial"/>
          <w:sz w:val="18"/>
          <w:szCs w:val="18"/>
          <w:color w:val="auto"/>
        </w:rPr>
        <w:t>This prospectus is part of the registration statement on Form S-3 we filed with the SEC under the Securities Act and does not contain all the information set forth or incorporated by reference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w:t>
      </w:r>
    </w:p>
    <w:p>
      <w:pPr>
        <w:spacing w:after="0" w:line="84" w:lineRule="exact"/>
        <w:rPr>
          <w:sz w:val="20"/>
          <w:szCs w:val="20"/>
          <w:color w:val="auto"/>
        </w:rPr>
      </w:pPr>
    </w:p>
    <w:p>
      <w:pPr>
        <w:ind w:left="300" w:right="359"/>
        <w:spacing w:after="0" w:line="272" w:lineRule="auto"/>
        <w:rPr>
          <w:sz w:val="20"/>
          <w:szCs w:val="20"/>
          <w:color w:val="auto"/>
        </w:rPr>
      </w:pPr>
      <w:r>
        <w:rPr>
          <w:rFonts w:ascii="Arial" w:cs="Arial" w:eastAsia="Arial" w:hAnsi="Arial"/>
          <w:sz w:val="17"/>
          <w:szCs w:val="17"/>
          <w:color w:val="auto"/>
        </w:rPr>
        <w:t>We are required to file periodic reports, proxy statements and other information with the SEC pursuant to the Exchange Act. Our SEC filings are available to the public on the SEC’s website at www.sec.gov, which contains reports, proxies and information statements and other information regarding registrants that file electronically. We also maintain a website at www.tilray.com, at which you may access these materials free of charge as soon as reasonably practicable after they are electronically filed with, or furnished to, the SEC. Information contained on, or that can be accessed through, our website is not a part of this prospectus and the inclusion of our website address in this prospectus is an inactive textual reference only.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4" w:name="page55"/>
    <w:bookmarkEnd w:id="54"/>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121" w:lineRule="exact"/>
        <w:rPr>
          <w:sz w:val="20"/>
          <w:szCs w:val="20"/>
          <w:color w:val="auto"/>
        </w:rPr>
      </w:pPr>
    </w:p>
    <w:p>
      <w:pPr>
        <w:ind w:left="300" w:right="559"/>
        <w:spacing w:after="0" w:line="274" w:lineRule="auto"/>
        <w:rPr>
          <w:sz w:val="20"/>
          <w:szCs w:val="20"/>
          <w:color w:val="auto"/>
        </w:rPr>
      </w:pPr>
      <w:r>
        <w:rPr>
          <w:rFonts w:ascii="Arial" w:cs="Arial" w:eastAsia="Arial" w:hAnsi="Arial"/>
          <w:sz w:val="17"/>
          <w:szCs w:val="17"/>
          <w:color w:val="auto"/>
        </w:rPr>
        <w:t>The SEC allows us to “incorporate by reference” into this prospectus certain information. This means that we can disclose important information to you by referring you to those documents that contain the information.</w:t>
      </w:r>
    </w:p>
    <w:p>
      <w:pPr>
        <w:jc w:val="both"/>
        <w:ind w:left="300" w:right="519"/>
        <w:spacing w:after="0" w:line="253" w:lineRule="auto"/>
        <w:rPr>
          <w:sz w:val="20"/>
          <w:szCs w:val="20"/>
          <w:color w:val="auto"/>
        </w:rPr>
      </w:pPr>
      <w:r>
        <w:rPr>
          <w:rFonts w:ascii="Arial" w:cs="Arial" w:eastAsia="Arial" w:hAnsi="Arial"/>
          <w:sz w:val="18"/>
          <w:szCs w:val="18"/>
          <w:color w:val="auto"/>
        </w:rPr>
        <w:t>The information we incorporate by reference is considered a part of this prospectus. We incorporate by reference into this prospectus the documents listed below that we have filed with the SEC. Any report or information within any of the documents referenced below that is furnished, but not filed, shall not be incorporated by reference into this prospectus.</w:t>
      </w:r>
    </w:p>
    <w:p>
      <w:pPr>
        <w:spacing w:after="0" w:line="85" w:lineRule="exact"/>
        <w:rPr>
          <w:sz w:val="20"/>
          <w:szCs w:val="20"/>
          <w:color w:val="auto"/>
        </w:rPr>
      </w:pPr>
    </w:p>
    <w:p>
      <w:pPr>
        <w:ind w:left="1020" w:right="339" w:hanging="368"/>
        <w:spacing w:after="0" w:line="301" w:lineRule="auto"/>
        <w:tabs>
          <w:tab w:leader="none" w:pos="10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 xml:space="preserve">our Annual Report on Form 10-K for the fiscal year ended May 31, 2022, which includes audited financial statements for the latest fiscal year, filed on </w:t>
      </w:r>
      <w:hyperlink r:id="rId107">
        <w:r>
          <w:rPr>
            <w:rFonts w:ascii="Arial" w:cs="Arial" w:eastAsia="Arial" w:hAnsi="Arial"/>
            <w:sz w:val="16"/>
            <w:szCs w:val="16"/>
            <w:u w:val="single" w:color="auto"/>
            <w:color w:val="0000EE"/>
          </w:rPr>
          <w:t>July 28, 2022</w:t>
        </w:r>
      </w:hyperlink>
      <w:r>
        <w:rPr>
          <w:rFonts w:ascii="Arial" w:cs="Arial" w:eastAsia="Arial" w:hAnsi="Arial"/>
          <w:sz w:val="16"/>
          <w:szCs w:val="16"/>
          <w:color w:val="auto"/>
        </w:rPr>
        <w:t xml:space="preserve">, as amended by Amendment No. 1 to our Annual Report on Form 10-K for the fiscal year ended May 31, 2022 (as amended, the “2022 Form 10-K”) , which includes audited financial statements for the latest fiscal year, filed on </w:t>
      </w:r>
      <w:hyperlink r:id="rId57">
        <w:r>
          <w:rPr>
            <w:rFonts w:ascii="Arial" w:cs="Arial" w:eastAsia="Arial" w:hAnsi="Arial"/>
            <w:sz w:val="16"/>
            <w:szCs w:val="16"/>
            <w:u w:val="single" w:color="auto"/>
            <w:color w:val="0000EE"/>
          </w:rPr>
          <w:t>October 7, 2022</w:t>
        </w:r>
      </w:hyperlink>
      <w:r>
        <w:rPr>
          <w:rFonts w:ascii="Arial" w:cs="Arial" w:eastAsia="Arial" w:hAnsi="Arial"/>
          <w:sz w:val="16"/>
          <w:szCs w:val="16"/>
          <w:color w:val="auto"/>
        </w:rPr>
        <w:t>;</w:t>
      </w:r>
    </w:p>
    <w:p>
      <w:pPr>
        <w:spacing w:after="0" w:line="49" w:lineRule="exact"/>
        <w:rPr>
          <w:rFonts w:ascii="Arial" w:cs="Arial" w:eastAsia="Arial" w:hAnsi="Arial"/>
          <w:sz w:val="16"/>
          <w:szCs w:val="16"/>
          <w:color w:val="auto"/>
        </w:rPr>
      </w:pPr>
    </w:p>
    <w:p>
      <w:pPr>
        <w:ind w:left="1020" w:right="399" w:hanging="368"/>
        <w:spacing w:after="0" w:line="263" w:lineRule="auto"/>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the information specifically incorporated by reference into the 2022 Form 10-K from our definitive proxy statement on Schedule 14A filed with the SEC on </w:t>
      </w:r>
      <w:hyperlink r:id="rId58">
        <w:r>
          <w:rPr>
            <w:rFonts w:ascii="Arial" w:cs="Arial" w:eastAsia="Arial" w:hAnsi="Arial"/>
            <w:sz w:val="18"/>
            <w:szCs w:val="18"/>
            <w:u w:val="single" w:color="auto"/>
            <w:color w:val="0000EE"/>
          </w:rPr>
          <w:t>October 3, 2022</w:t>
        </w:r>
      </w:hyperlink>
      <w:r>
        <w:rPr>
          <w:rFonts w:ascii="Arial" w:cs="Arial" w:eastAsia="Arial" w:hAnsi="Arial"/>
          <w:sz w:val="18"/>
          <w:szCs w:val="18"/>
          <w:color w:val="auto"/>
        </w:rPr>
        <w:t>, as well as any amendments thereto reflected in subsequent filings with the SEC;</w:t>
      </w:r>
    </w:p>
    <w:p>
      <w:pPr>
        <w:spacing w:after="0" w:line="75" w:lineRule="exact"/>
        <w:rPr>
          <w:rFonts w:ascii="Arial" w:cs="Arial" w:eastAsia="Arial" w:hAnsi="Arial"/>
          <w:sz w:val="18"/>
          <w:szCs w:val="18"/>
          <w:color w:val="auto"/>
        </w:rPr>
      </w:pPr>
    </w:p>
    <w:p>
      <w:pPr>
        <w:ind w:left="1020" w:hanging="368"/>
        <w:spacing w:after="0"/>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on </w:t>
      </w:r>
      <w:hyperlink r:id="rId108">
        <w:r>
          <w:rPr>
            <w:rFonts w:ascii="Arial" w:cs="Arial" w:eastAsia="Arial" w:hAnsi="Arial"/>
            <w:sz w:val="18"/>
            <w:szCs w:val="18"/>
            <w:u w:val="single" w:color="auto"/>
            <w:color w:val="0000EE"/>
          </w:rPr>
          <w:t>August 3, 2022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63">
        <w:r>
          <w:rPr>
            <w:rFonts w:ascii="Arial" w:cs="Arial" w:eastAsia="Arial" w:hAnsi="Arial"/>
            <w:sz w:val="18"/>
            <w:szCs w:val="18"/>
            <w:u w:val="single" w:color="auto"/>
            <w:color w:val="0000EE"/>
          </w:rPr>
          <w:t>September 1, 2022</w:t>
        </w:r>
      </w:hyperlink>
      <w:r>
        <w:rPr>
          <w:rFonts w:ascii="Arial" w:cs="Arial" w:eastAsia="Arial" w:hAnsi="Arial"/>
          <w:sz w:val="18"/>
          <w:szCs w:val="18"/>
          <w:color w:val="auto"/>
        </w:rPr>
        <w:t>; and</w:t>
      </w:r>
    </w:p>
    <w:p>
      <w:pPr>
        <w:spacing w:after="0" w:line="117" w:lineRule="exact"/>
        <w:rPr>
          <w:rFonts w:ascii="Arial" w:cs="Arial" w:eastAsia="Arial" w:hAnsi="Arial"/>
          <w:sz w:val="18"/>
          <w:szCs w:val="18"/>
          <w:color w:val="auto"/>
        </w:rPr>
      </w:pPr>
    </w:p>
    <w:p>
      <w:pPr>
        <w:ind w:left="1020" w:right="439" w:hanging="368"/>
        <w:spacing w:after="0" w:line="286" w:lineRule="auto"/>
        <w:tabs>
          <w:tab w:leader="none" w:pos="10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 xml:space="preserve">the description of our securities as set forth in our registration statement on Form 8-A/A (File No. 001-38594), filed with the SEC on </w:t>
      </w:r>
      <w:hyperlink r:id="rId71">
        <w:r>
          <w:rPr>
            <w:rFonts w:ascii="Arial" w:cs="Arial" w:eastAsia="Arial" w:hAnsi="Arial"/>
            <w:sz w:val="17"/>
            <w:szCs w:val="17"/>
            <w:u w:val="single" w:color="auto"/>
            <w:color w:val="0000EE"/>
          </w:rPr>
          <w:t>October 1, 2020</w:t>
        </w:r>
      </w:hyperlink>
      <w:r>
        <w:rPr>
          <w:rFonts w:ascii="Arial" w:cs="Arial" w:eastAsia="Arial" w:hAnsi="Arial"/>
          <w:sz w:val="17"/>
          <w:szCs w:val="17"/>
          <w:color w:val="auto"/>
        </w:rPr>
        <w:t>, pursuant to Section 12(b) of the Exchange Act, including any subsequent amendments or reports filed for the purpose of updating such description.</w:t>
      </w:r>
    </w:p>
    <w:p>
      <w:pPr>
        <w:spacing w:after="0" w:line="57" w:lineRule="exact"/>
        <w:rPr>
          <w:rFonts w:ascii="Arial" w:cs="Arial" w:eastAsia="Arial" w:hAnsi="Arial"/>
          <w:sz w:val="18"/>
          <w:szCs w:val="18"/>
          <w:color w:val="auto"/>
        </w:rPr>
      </w:pPr>
    </w:p>
    <w:p>
      <w:pPr>
        <w:ind w:left="300" w:right="359"/>
        <w:spacing w:after="0" w:line="275" w:lineRule="auto"/>
        <w:rPr>
          <w:sz w:val="20"/>
          <w:szCs w:val="20"/>
          <w:color w:val="auto"/>
        </w:rPr>
      </w:pPr>
      <w:r>
        <w:rPr>
          <w:rFonts w:ascii="Arial" w:cs="Arial" w:eastAsia="Arial" w:hAnsi="Arial"/>
          <w:sz w:val="17"/>
          <w:szCs w:val="17"/>
          <w:color w:val="auto"/>
        </w:rPr>
        <w:t>We will furnish without charge to you, on written or oral request, a copy of any or all of the documents incorporated by reference. You should direct any requests for documents to Tilray Brands, Inc., 265 Talbot Street West, Leamington, Ontario, Canada. Copies of the above reports may also be accessed from our web site at ir.tilray.com. Information contained on, or that can be accessed through, our website is not a part of this prospectus and the inclusion of our website address in this prospectus is an inactive textual reference only.</w:t>
      </w:r>
    </w:p>
    <w:p>
      <w:pPr>
        <w:spacing w:after="0" w:line="68" w:lineRule="exact"/>
        <w:rPr>
          <w:rFonts w:ascii="Arial" w:cs="Arial" w:eastAsia="Arial" w:hAnsi="Arial"/>
          <w:sz w:val="18"/>
          <w:szCs w:val="18"/>
          <w:color w:val="auto"/>
        </w:rPr>
      </w:pPr>
    </w:p>
    <w:p>
      <w:pPr>
        <w:ind w:left="300"/>
        <w:spacing w:after="0"/>
        <w:rPr>
          <w:sz w:val="20"/>
          <w:szCs w:val="20"/>
          <w:color w:val="auto"/>
        </w:rPr>
      </w:pPr>
      <w:r>
        <w:rPr>
          <w:rFonts w:ascii="Arial" w:cs="Arial" w:eastAsia="Arial" w:hAnsi="Arial"/>
          <w:sz w:val="18"/>
          <w:szCs w:val="18"/>
          <w:color w:val="auto"/>
        </w:rPr>
        <w:t>We also incorporate by reference in this prospectus any future filings that we make with the SEC under</w:t>
      </w:r>
    </w:p>
    <w:p>
      <w:pPr>
        <w:spacing w:after="0" w:line="23" w:lineRule="exact"/>
        <w:rPr>
          <w:rFonts w:ascii="Arial" w:cs="Arial" w:eastAsia="Arial" w:hAnsi="Arial"/>
          <w:sz w:val="18"/>
          <w:szCs w:val="18"/>
          <w:color w:val="auto"/>
        </w:rPr>
      </w:pPr>
    </w:p>
    <w:p>
      <w:pPr>
        <w:ind w:left="300" w:right="319"/>
        <w:spacing w:after="0" w:line="269" w:lineRule="auto"/>
        <w:rPr>
          <w:sz w:val="20"/>
          <w:szCs w:val="20"/>
          <w:color w:val="auto"/>
        </w:rPr>
      </w:pPr>
      <w:r>
        <w:rPr>
          <w:rFonts w:ascii="Arial" w:cs="Arial" w:eastAsia="Arial" w:hAnsi="Arial"/>
          <w:sz w:val="17"/>
          <w:szCs w:val="17"/>
          <w:color w:val="auto"/>
        </w:rPr>
        <w:t>Section 13(a), 13(c), 14 or 15(d) of the Exchange Act until we sell all the securities to which this prospectus relates; provided, however, that we are not incorporating any information furnished under either Item 2.02 or Item 7.01 or any related exhibit furnished under Item 9.01(d) of any Current Report on Form 8-K unless, and except to the extent, specified in any such Current Report on Form 8-K or in any applicable prospectus supplement. Any statement contained in a document incorporated or deemed to be incorporated by reference in this prospectus will be deemed modified, superseded or replaced for purposes of this prospectus to the extent that a statement contained in this prospectus modifies, supersedes or replaces such statement.</w:t>
      </w:r>
    </w:p>
    <w:p>
      <w:pPr>
        <w:spacing w:after="0" w:line="180"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5" w:name="page56"/>
    <w:bookmarkEnd w:id="55"/>
    <w:p>
      <w:pPr>
        <w:ind w:left="4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92075</wp:posOffset>
            </wp:positionV>
            <wp:extent cx="521208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0">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160655</wp:posOffset>
            </wp:positionV>
            <wp:extent cx="52120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1">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1206500</wp:posOffset>
            </wp:positionV>
            <wp:extent cx="2580005" cy="6940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2">
                      <a:extLst>
                        <a:ext uri="{28A0092B-C50C-407E-A947-70E740481C1C}"/>
                      </a:extLst>
                    </a:blip>
                    <a:srcRect/>
                    <a:stretch>
                      <a:fillRect/>
                    </a:stretch>
                  </pic:blipFill>
                  <pic:spPr bwMode="auto">
                    <a:xfrm>
                      <a:off x="0" y="0"/>
                      <a:ext cx="2580005" cy="6940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38,500,000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1680210</wp:posOffset>
            </wp:positionV>
            <wp:extent cx="10972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3">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237490</wp:posOffset>
            </wp:positionV>
            <wp:extent cx="10972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4">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May 25,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156210</wp:posOffset>
            </wp:positionV>
            <wp:extent cx="52120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5">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207645</wp:posOffset>
            </wp:positionV>
            <wp:extent cx="521208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6">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56" w:name="page57"/>
    <w:bookmarkEnd w:id="56"/>
    <w:p>
      <w:pPr>
        <w:ind w:left="99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107</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Filed Pursuant to Rule 424(b)(7)</w:t>
      </w:r>
    </w:p>
    <w:p>
      <w:pPr>
        <w:spacing w:after="0" w:line="233" w:lineRule="exact"/>
        <w:rPr>
          <w:sz w:val="20"/>
          <w:szCs w:val="20"/>
          <w:color w:val="auto"/>
        </w:rPr>
      </w:pPr>
    </w:p>
    <w:p>
      <w:pPr>
        <w:ind w:left="7640"/>
        <w:spacing w:after="0"/>
        <w:rPr>
          <w:sz w:val="20"/>
          <w:szCs w:val="20"/>
          <w:color w:val="auto"/>
        </w:rPr>
      </w:pPr>
      <w:r>
        <w:rPr>
          <w:rFonts w:ascii="Arial" w:cs="Arial" w:eastAsia="Arial" w:hAnsi="Arial"/>
          <w:sz w:val="19"/>
          <w:szCs w:val="19"/>
          <w:b w:val="1"/>
          <w:bCs w:val="1"/>
          <w:color w:val="auto"/>
        </w:rPr>
        <w:t>Registration Statement No. 333-267788</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CALCULATION OF REGISTRATION FEE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Tilray Brands,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9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Security</w:t>
            </w:r>
          </w:p>
        </w:tc>
        <w:tc>
          <w:tcPr>
            <w:tcW w:w="2820" w:type="dxa"/>
            <w:vAlign w:val="bottom"/>
            <w:tcBorders>
              <w:top w:val="single" w:sz="8" w:color="auto"/>
              <w:right w:val="single" w:sz="8" w:color="auto"/>
            </w:tcBorders>
          </w:tcPr>
          <w:p>
            <w:pPr>
              <w:ind w:left="660"/>
              <w:spacing w:after="0"/>
              <w:rPr>
                <w:sz w:val="20"/>
                <w:szCs w:val="20"/>
                <w:color w:val="auto"/>
              </w:rPr>
            </w:pPr>
            <w:r>
              <w:rPr>
                <w:rFonts w:ascii="Arial" w:cs="Arial" w:eastAsia="Arial" w:hAnsi="Arial"/>
                <w:sz w:val="18"/>
                <w:szCs w:val="18"/>
                <w:b w:val="1"/>
                <w:bCs w:val="1"/>
                <w:color w:val="auto"/>
              </w:rPr>
              <w:t>Security Class Title</w:t>
            </w:r>
          </w:p>
        </w:tc>
        <w:tc>
          <w:tcPr>
            <w:tcW w:w="1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Fee Calculation</w:t>
            </w:r>
          </w:p>
        </w:tc>
        <w:tc>
          <w:tcPr>
            <w:tcW w:w="1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Amount</w:t>
            </w:r>
          </w:p>
        </w:tc>
        <w:tc>
          <w:tcPr>
            <w:tcW w:w="1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Proposed</w:t>
            </w:r>
          </w:p>
        </w:tc>
        <w:tc>
          <w:tcPr>
            <w:tcW w:w="1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1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Fee Rate</w:t>
            </w:r>
          </w:p>
        </w:tc>
        <w:tc>
          <w:tcPr>
            <w:tcW w:w="13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Amount of</w:t>
            </w:r>
          </w:p>
        </w:tc>
      </w:tr>
      <w:tr>
        <w:trPr>
          <w:trHeight w:val="216"/>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Type</w:t>
            </w:r>
          </w:p>
        </w:tc>
        <w:tc>
          <w:tcPr>
            <w:tcW w:w="28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Rule</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Registered</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Aggregate</w:t>
            </w:r>
          </w:p>
        </w:tc>
        <w:tc>
          <w:tcPr>
            <w:tcW w:w="120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Registration Fee</w:t>
            </w:r>
          </w:p>
        </w:tc>
      </w:tr>
      <w:tr>
        <w:trPr>
          <w:trHeight w:val="216"/>
        </w:trPr>
        <w:tc>
          <w:tcPr>
            <w:tcW w:w="920" w:type="dxa"/>
            <w:vAlign w:val="bottom"/>
            <w:tcBorders>
              <w:left w:val="single" w:sz="8" w:color="auto"/>
              <w:right w:val="single" w:sz="8" w:color="auto"/>
            </w:tcBorders>
          </w:tcPr>
          <w:p>
            <w:pPr>
              <w:spacing w:after="0"/>
              <w:rPr>
                <w:sz w:val="18"/>
                <w:szCs w:val="18"/>
                <w:color w:val="auto"/>
              </w:rPr>
            </w:pPr>
          </w:p>
        </w:tc>
        <w:tc>
          <w:tcPr>
            <w:tcW w:w="28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Offering Price</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Offering Price</w:t>
            </w:r>
          </w:p>
        </w:tc>
        <w:tc>
          <w:tcPr>
            <w:tcW w:w="120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r>
      <w:tr>
        <w:trPr>
          <w:trHeight w:val="241"/>
        </w:trPr>
        <w:tc>
          <w:tcPr>
            <w:tcW w:w="92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Per Unit</w:t>
            </w:r>
          </w:p>
        </w:tc>
        <w:tc>
          <w:tcPr>
            <w:tcW w:w="126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r>
      <w:tr>
        <w:trPr>
          <w:trHeight w:val="202"/>
        </w:trPr>
        <w:tc>
          <w:tcPr>
            <w:tcW w:w="920" w:type="dxa"/>
            <w:vAlign w:val="bottom"/>
            <w:tcBorders>
              <w:left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5"/>
              </w:rPr>
              <w:t>Equity</w:t>
            </w:r>
          </w:p>
        </w:tc>
        <w:tc>
          <w:tcPr>
            <w:tcW w:w="2820" w:type="dxa"/>
            <w:vAlign w:val="bottom"/>
            <w:tcBorders>
              <w:right w:val="single" w:sz="8" w:color="auto"/>
            </w:tcBorders>
          </w:tcPr>
          <w:p>
            <w:pPr>
              <w:ind w:left="20"/>
              <w:spacing w:after="0" w:line="201" w:lineRule="exact"/>
              <w:rPr>
                <w:sz w:val="20"/>
                <w:szCs w:val="20"/>
                <w:color w:val="auto"/>
              </w:rPr>
            </w:pPr>
            <w:r>
              <w:rPr>
                <w:rFonts w:ascii="Arial" w:cs="Arial" w:eastAsia="Arial" w:hAnsi="Arial"/>
                <w:sz w:val="18"/>
                <w:szCs w:val="18"/>
                <w:color w:val="auto"/>
                <w:w w:val="90"/>
              </w:rPr>
              <w:t>Common stock, $0.0001 par value per</w:t>
            </w:r>
          </w:p>
        </w:tc>
        <w:tc>
          <w:tcPr>
            <w:tcW w:w="12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Rule 457(c)</w:t>
            </w:r>
          </w:p>
        </w:tc>
        <w:tc>
          <w:tcPr>
            <w:tcW w:w="12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5"/>
                <w:szCs w:val="15"/>
                <w:color w:val="auto"/>
              </w:rPr>
              <w:t>38,500,000</w:t>
            </w:r>
            <w:r>
              <w:rPr>
                <w:rFonts w:ascii="Arial" w:cs="Arial" w:eastAsia="Arial" w:hAnsi="Arial"/>
                <w:sz w:val="23"/>
                <w:szCs w:val="23"/>
                <w:color w:val="auto"/>
                <w:vertAlign w:val="superscript"/>
              </w:rPr>
              <w:t>(1)</w:t>
            </w:r>
          </w:p>
        </w:tc>
        <w:tc>
          <w:tcPr>
            <w:tcW w:w="12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5"/>
                <w:szCs w:val="15"/>
                <w:color w:val="auto"/>
              </w:rPr>
              <w:t>$2.38</w:t>
            </w:r>
            <w:r>
              <w:rPr>
                <w:rFonts w:ascii="Arial" w:cs="Arial" w:eastAsia="Arial" w:hAnsi="Arial"/>
                <w:sz w:val="23"/>
                <w:szCs w:val="23"/>
                <w:color w:val="auto"/>
                <w:vertAlign w:val="superscript"/>
              </w:rPr>
              <w:t>(2)</w:t>
            </w:r>
          </w:p>
        </w:tc>
        <w:tc>
          <w:tcPr>
            <w:tcW w:w="12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$91,630,000</w:t>
            </w:r>
          </w:p>
        </w:tc>
        <w:tc>
          <w:tcPr>
            <w:tcW w:w="1200" w:type="dxa"/>
            <w:vAlign w:val="bottom"/>
            <w:tcBorders>
              <w:right w:val="single" w:sz="8" w:color="auto"/>
            </w:tcBorders>
          </w:tcPr>
          <w:p>
            <w:pPr>
              <w:jc w:val="right"/>
              <w:ind w:right="110"/>
              <w:spacing w:after="0" w:line="201" w:lineRule="exact"/>
              <w:rPr>
                <w:sz w:val="20"/>
                <w:szCs w:val="20"/>
                <w:color w:val="auto"/>
              </w:rPr>
            </w:pPr>
            <w:r>
              <w:rPr>
                <w:rFonts w:ascii="Arial" w:cs="Arial" w:eastAsia="Arial" w:hAnsi="Arial"/>
                <w:sz w:val="18"/>
                <w:szCs w:val="18"/>
                <w:color w:val="auto"/>
              </w:rPr>
              <w:t>$0.0001102</w:t>
            </w:r>
          </w:p>
        </w:tc>
        <w:tc>
          <w:tcPr>
            <w:tcW w:w="13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88"/>
              </w:rPr>
              <w:t>$10,097.63</w:t>
            </w:r>
          </w:p>
        </w:tc>
      </w:tr>
      <w:tr>
        <w:trPr>
          <w:trHeight w:val="237"/>
        </w:trPr>
        <w:tc>
          <w:tcPr>
            <w:tcW w:w="92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share</w:t>
            </w:r>
          </w:p>
        </w:tc>
        <w:tc>
          <w:tcPr>
            <w:tcW w:w="122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r>
      <w:tr>
        <w:trPr>
          <w:trHeight w:val="223"/>
        </w:trPr>
        <w:tc>
          <w:tcPr>
            <w:tcW w:w="374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Total Offering Amounts</w:t>
            </w:r>
          </w:p>
        </w:tc>
        <w:tc>
          <w:tcPr>
            <w:tcW w:w="122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$91,630,000</w:t>
            </w:r>
          </w:p>
        </w:tc>
        <w:tc>
          <w:tcPr>
            <w:tcW w:w="120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$10,097.63</w:t>
            </w:r>
          </w:p>
        </w:tc>
      </w:tr>
      <w:tr>
        <w:trPr>
          <w:trHeight w:val="223"/>
        </w:trPr>
        <w:tc>
          <w:tcPr>
            <w:tcW w:w="374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Total Fees Previously Paid</w:t>
            </w:r>
          </w:p>
        </w:tc>
        <w:tc>
          <w:tcPr>
            <w:tcW w:w="122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23"/>
        </w:trPr>
        <w:tc>
          <w:tcPr>
            <w:tcW w:w="3740" w:type="dxa"/>
            <w:vAlign w:val="bottom"/>
            <w:tcBorders>
              <w:left w:val="single" w:sz="8" w:color="auto"/>
              <w:bottom w:val="single" w:sz="8" w:color="auto"/>
            </w:tcBorders>
            <w:gridSpan w:val="2"/>
          </w:tcPr>
          <w:p>
            <w:pPr>
              <w:ind w:left="40"/>
              <w:spacing w:after="0" w:line="216" w:lineRule="exact"/>
              <w:rPr>
                <w:sz w:val="20"/>
                <w:szCs w:val="20"/>
                <w:color w:val="auto"/>
              </w:rPr>
            </w:pPr>
            <w:r>
              <w:rPr>
                <w:rFonts w:ascii="Arial" w:cs="Arial" w:eastAsia="Arial" w:hAnsi="Arial"/>
                <w:sz w:val="16"/>
                <w:szCs w:val="16"/>
                <w:b w:val="1"/>
                <w:bCs w:val="1"/>
                <w:color w:val="auto"/>
              </w:rPr>
              <w:t>Total Fee Offsets</w:t>
            </w:r>
            <w:r>
              <w:rPr>
                <w:rFonts w:ascii="Arial" w:cs="Arial" w:eastAsia="Arial" w:hAnsi="Arial"/>
                <w:sz w:val="25"/>
                <w:szCs w:val="25"/>
                <w:b w:val="1"/>
                <w:bCs w:val="1"/>
                <w:color w:val="auto"/>
                <w:vertAlign w:val="superscript"/>
              </w:rPr>
              <w:t>(3)</w:t>
            </w:r>
          </w:p>
        </w:tc>
        <w:tc>
          <w:tcPr>
            <w:tcW w:w="122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23"/>
        </w:trPr>
        <w:tc>
          <w:tcPr>
            <w:tcW w:w="374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Net Fee Due</w:t>
            </w:r>
          </w:p>
        </w:tc>
        <w:tc>
          <w:tcPr>
            <w:tcW w:w="122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$10,097.63</w:t>
            </w:r>
          </w:p>
        </w:tc>
      </w:tr>
    </w:tbl>
    <w:p>
      <w:pPr>
        <w:spacing w:after="0" w:line="229" w:lineRule="exact"/>
        <w:rPr>
          <w:sz w:val="20"/>
          <w:szCs w:val="20"/>
          <w:color w:val="auto"/>
        </w:rPr>
      </w:pPr>
    </w:p>
    <w:p>
      <w:pPr>
        <w:ind w:left="480" w:hanging="472"/>
        <w:spacing w:after="0"/>
        <w:tabs>
          <w:tab w:leader="none" w:pos="4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Represents shares of common stock of the Registrant.</w:t>
      </w:r>
    </w:p>
    <w:p>
      <w:pPr>
        <w:spacing w:after="0" w:line="23" w:lineRule="exact"/>
        <w:rPr>
          <w:rFonts w:ascii="Arial" w:cs="Arial" w:eastAsia="Arial" w:hAnsi="Arial"/>
          <w:sz w:val="18"/>
          <w:szCs w:val="18"/>
          <w:color w:val="auto"/>
        </w:rPr>
      </w:pPr>
    </w:p>
    <w:p>
      <w:pPr>
        <w:jc w:val="both"/>
        <w:ind w:left="480" w:right="40" w:hanging="472"/>
        <w:spacing w:after="0" w:line="250" w:lineRule="auto"/>
        <w:tabs>
          <w:tab w:leader="none" w:pos="4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Estimated in accordance with paragraph (c) of Rule 457 under the Securities Act solely for the purpose of calculating the registration fee on the basis of $2.38, which represents the average of the high and low price per share of Registrant’s common stock on May 25, 2023 as reported on the Nasdaq Global Select Market.</w:t>
      </w:r>
    </w:p>
    <w:p>
      <w:pPr>
        <w:spacing w:after="0" w:line="1" w:lineRule="exact"/>
        <w:rPr>
          <w:rFonts w:ascii="Arial" w:cs="Arial" w:eastAsia="Arial" w:hAnsi="Arial"/>
          <w:sz w:val="18"/>
          <w:szCs w:val="18"/>
          <w:color w:val="auto"/>
        </w:rPr>
      </w:pPr>
    </w:p>
    <w:p>
      <w:pPr>
        <w:ind w:left="480" w:hanging="472"/>
        <w:spacing w:after="0"/>
        <w:tabs>
          <w:tab w:leader="none" w:pos="4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 does not have any fee offsets.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8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1"/>
      <w:numFmt w:val="bullet"/>
      <w:start w:val="1"/>
    </w:lvl>
  </w:abstractNum>
  <w:abstractNum w:abstractNumId="10">
    <w:nsid w:val="614FD4A1"/>
    <w:multiLevelType w:val="hybridMultilevel"/>
    <w:lvl w:ilvl="0">
      <w:lvlJc w:val="left"/>
      <w:lvlText w:val="2"/>
      <w:numFmt w:val="bullet"/>
      <w:start w:val="1"/>
    </w:lvl>
  </w:abstractNum>
  <w:abstractNum w:abstractNumId="11">
    <w:nsid w:val="419AC241"/>
    <w:multiLevelType w:val="hybridMultilevel"/>
    <w:lvl w:ilvl="0">
      <w:lvlJc w:val="left"/>
      <w:lvlText w:val="3"/>
      <w:numFmt w:val="bullet"/>
      <w:start w:val="1"/>
    </w:lvl>
  </w:abstractNum>
  <w:abstractNum w:abstractNumId="12">
    <w:nsid w:val="5577F8E1"/>
    <w:multiLevelType w:val="hybridMultilevel"/>
    <w:lvl w:ilvl="0">
      <w:lvlJc w:val="left"/>
      <w:lvlText w:val="4"/>
      <w:numFmt w:val="bullet"/>
      <w:start w:val="1"/>
    </w:lvl>
  </w:abstractNum>
  <w:abstractNum w:abstractNumId="13">
    <w:nsid w:val="440BADFC"/>
    <w:multiLevelType w:val="hybridMultilevel"/>
    <w:lvl w:ilvl="0">
      <w:lvlJc w:val="left"/>
      <w:lvlText w:val="5"/>
      <w:numFmt w:val="bullet"/>
      <w:start w:val="1"/>
    </w:lvl>
  </w:abstractNum>
  <w:abstractNum w:abstractNumId="14">
    <w:nsid w:val="5072367"/>
    <w:multiLevelType w:val="hybridMultilevel"/>
    <w:lvl w:ilvl="0">
      <w:lvlJc w:val="left"/>
      <w:lvlText w:val="6"/>
      <w:numFmt w:val="bullet"/>
      <w:start w:val="1"/>
    </w:lvl>
  </w:abstractNum>
  <w:abstractNum w:abstractNumId="15">
    <w:nsid w:val="3804823E"/>
    <w:multiLevelType w:val="hybridMultilevel"/>
    <w:lvl w:ilvl="0">
      <w:lvlJc w:val="left"/>
      <w:lvlText w:val="7"/>
      <w:numFmt w:val="bullet"/>
      <w:start w:val="1"/>
    </w:lvl>
  </w:abstractNum>
  <w:abstractNum w:abstractNumId="16">
    <w:nsid w:val="77465F01"/>
    <w:multiLevelType w:val="hybridMultilevel"/>
    <w:lvl w:ilvl="0">
      <w:lvlJc w:val="left"/>
      <w:lvlText w:val="8"/>
      <w:numFmt w:val="bullet"/>
      <w:start w:val="1"/>
    </w:lvl>
  </w:abstractNum>
  <w:abstractNum w:abstractNumId="17">
    <w:nsid w:val="7724C67E"/>
    <w:multiLevelType w:val="hybridMultilevel"/>
    <w:lvl w:ilvl="0">
      <w:lvlJc w:val="left"/>
      <w:lvlText w:val="9"/>
      <w:numFmt w:val="bullet"/>
      <w:start w:val="1"/>
    </w:lvl>
  </w:abstractNum>
  <w:abstractNum w:abstractNumId="18">
    <w:nsid w:val="5C482A97"/>
    <w:multiLevelType w:val="hybridMultilevel"/>
    <w:lvl w:ilvl="0">
      <w:lvlJc w:val="left"/>
      <w:lvlText w:val="%1"/>
      <w:numFmt w:val="decimal"/>
      <w:start w:val="10"/>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
      <w:numFmt w:val="bullet"/>
      <w:start w:val="1"/>
    </w:lvl>
  </w:abstractNum>
  <w:abstractNum w:abstractNumId="35">
    <w:nsid w:val="542289EC"/>
    <w:multiLevelType w:val="hybridMultilevel"/>
    <w:lvl w:ilvl="0">
      <w:lvlJc w:val="left"/>
      <w:lvlText w:val="•"/>
      <w:numFmt w:val="bullet"/>
      <w:start w:val="1"/>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
      <w:numFmt w:val="bullet"/>
      <w:start w:val="1"/>
    </w:lvl>
  </w:abstractNum>
  <w:abstractNum w:abstractNumId="38">
    <w:nsid w:val="7644A45C"/>
    <w:multiLevelType w:val="hybridMultilevel"/>
    <w:lvl w:ilvl="0">
      <w:lvlJc w:val="left"/>
      <w:lvlText w:val="•"/>
      <w:numFmt w:val="bullet"/>
      <w:start w:val="1"/>
    </w:lvl>
  </w:abstractNum>
  <w:abstractNum w:abstractNumId="39">
    <w:nsid w:val="32FFF902"/>
    <w:multiLevelType w:val="hybridMultilevel"/>
    <w:lvl w:ilvl="0">
      <w:lvlJc w:val="left"/>
      <w:lvlText w:val="•"/>
      <w:numFmt w:val="bullet"/>
      <w:start w:val="1"/>
    </w:lvl>
  </w:abstractNum>
  <w:abstractNum w:abstractNumId="40">
    <w:nsid w:val="684A481A"/>
    <w:multiLevelType w:val="hybridMultilevel"/>
    <w:lvl w:ilvl="0">
      <w:lvlJc w:val="left"/>
      <w:lvlText w:val="•"/>
      <w:numFmt w:val="bullet"/>
      <w:start w:val="1"/>
    </w:lvl>
  </w:abstractNum>
  <w:abstractNum w:abstractNumId="41">
    <w:nsid w:val="579478FE"/>
    <w:multiLevelType w:val="hybridMultilevel"/>
    <w:lvl w:ilvl="0">
      <w:lvlJc w:val="left"/>
      <w:lvlText w:val="•"/>
      <w:numFmt w:val="bullet"/>
      <w:start w:val="1"/>
    </w:lvl>
  </w:abstractNum>
  <w:abstractNum w:abstractNumId="42">
    <w:nsid w:val="749ABB43"/>
    <w:multiLevelType w:val="hybridMultilevel"/>
    <w:lvl w:ilvl="0">
      <w:lvlJc w:val="left"/>
      <w:lvlText w:val="•"/>
      <w:numFmt w:val="bullet"/>
      <w:start w:val="1"/>
    </w:lvl>
  </w:abstractNum>
  <w:abstractNum w:abstractNumId="43">
    <w:nsid w:val="3DC240FB"/>
    <w:multiLevelType w:val="hybridMultilevel"/>
    <w:lvl w:ilvl="0">
      <w:lvlJc w:val="left"/>
      <w:lvlText w:val="•"/>
      <w:numFmt w:val="bullet"/>
      <w:start w:val="1"/>
    </w:lvl>
  </w:abstractNum>
  <w:abstractNum w:abstractNumId="44">
    <w:nsid w:val="1BA026FA"/>
    <w:multiLevelType w:val="hybridMultilevel"/>
    <w:lvl w:ilvl="0">
      <w:lvlJc w:val="left"/>
      <w:lvlText w:val="•"/>
      <w:numFmt w:val="bullet"/>
      <w:start w:val="1"/>
    </w:lvl>
  </w:abstractNum>
  <w:abstractNum w:abstractNumId="45">
    <w:nsid w:val="79A1DEAA"/>
    <w:multiLevelType w:val="hybridMultilevel"/>
    <w:lvl w:ilvl="0">
      <w:lvlJc w:val="left"/>
      <w:lvlText w:val="•"/>
      <w:numFmt w:val="bullet"/>
      <w:start w:val="1"/>
    </w:lvl>
  </w:abstractNum>
  <w:abstractNum w:abstractNumId="46">
    <w:nsid w:val="75C6C33A"/>
    <w:multiLevelType w:val="hybridMultilevel"/>
    <w:lvl w:ilvl="0">
      <w:lvlJc w:val="left"/>
      <w:lvlText w:val="•"/>
      <w:numFmt w:val="bullet"/>
      <w:start w:val="1"/>
    </w:lvl>
  </w:abstractNum>
  <w:abstractNum w:abstractNumId="47">
    <w:nsid w:val="12E685FB"/>
    <w:multiLevelType w:val="hybridMultilevel"/>
    <w:lvl w:ilvl="0">
      <w:lvlJc w:val="left"/>
      <w:lvlText w:val="•"/>
      <w:numFmt w:val="bullet"/>
      <w:start w:val="1"/>
    </w:lvl>
  </w:abstractNum>
  <w:abstractNum w:abstractNumId="48">
    <w:nsid w:val="70C6A529"/>
    <w:multiLevelType w:val="hybridMultilevel"/>
    <w:lvl w:ilvl="0">
      <w:lvlJc w:val="left"/>
      <w:lvlText w:val="•"/>
      <w:numFmt w:val="bullet"/>
      <w:start w:val="1"/>
    </w:lvl>
  </w:abstractNum>
  <w:abstractNum w:abstractNumId="49">
    <w:nsid w:val="520EEDD1"/>
    <w:multiLevelType w:val="hybridMultilevel"/>
    <w:lvl w:ilvl="0">
      <w:lvlJc w:val="left"/>
      <w:lvlText w:val="•"/>
      <w:numFmt w:val="bullet"/>
      <w:start w:val="1"/>
    </w:lvl>
  </w:abstractNum>
  <w:abstractNum w:abstractNumId="50">
    <w:nsid w:val="374A3FE6"/>
    <w:multiLevelType w:val="hybridMultilevel"/>
    <w:lvl w:ilvl="0">
      <w:lvlJc w:val="left"/>
      <w:lvlText w:val="•"/>
      <w:numFmt w:val="bullet"/>
      <w:start w:val="1"/>
    </w:lvl>
  </w:abstractNum>
  <w:abstractNum w:abstractNumId="51">
    <w:nsid w:val="4F4EF005"/>
    <w:multiLevelType w:val="hybridMultilevel"/>
    <w:lvl w:ilvl="0">
      <w:lvlJc w:val="left"/>
      <w:lvlText w:val="•"/>
      <w:numFmt w:val="bullet"/>
      <w:start w:val="1"/>
    </w:lvl>
  </w:abstractNum>
  <w:abstractNum w:abstractNumId="52">
    <w:nsid w:val="23F9C13C"/>
    <w:multiLevelType w:val="hybridMultilevel"/>
    <w:lvl w:ilvl="0">
      <w:lvlJc w:val="left"/>
      <w:lvlText w:val="•"/>
      <w:numFmt w:val="bullet"/>
      <w:start w:val="1"/>
    </w:lvl>
  </w:abstractNum>
  <w:abstractNum w:abstractNumId="53">
    <w:nsid w:val="649BB77C"/>
    <w:multiLevelType w:val="hybridMultilevel"/>
    <w:lvl w:ilvl="0">
      <w:lvlJc w:val="left"/>
      <w:lvlText w:val="•"/>
      <w:numFmt w:val="bullet"/>
      <w:start w:val="1"/>
    </w:lvl>
  </w:abstractNum>
  <w:abstractNum w:abstractNumId="54">
    <w:nsid w:val="275AC794"/>
    <w:multiLevelType w:val="hybridMultilevel"/>
    <w:lvl w:ilvl="0">
      <w:lvlJc w:val="left"/>
      <w:lvlText w:val="•"/>
      <w:numFmt w:val="bullet"/>
      <w:start w:val="1"/>
    </w:lvl>
  </w:abstractNum>
  <w:abstractNum w:abstractNumId="55">
    <w:nsid w:val="39386575"/>
    <w:multiLevelType w:val="hybridMultilevel"/>
    <w:lvl w:ilvl="0">
      <w:lvlJc w:val="left"/>
      <w:lvlText w:val="•"/>
      <w:numFmt w:val="bullet"/>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72" Type="http://schemas.openxmlformats.org/officeDocument/2006/relationships/image" Target="media/image49.png"/><Relationship Id="rId73" Type="http://schemas.openxmlformats.org/officeDocument/2006/relationships/image" Target="media/image50.jpeg"/><Relationship Id="rId74" Type="http://schemas.openxmlformats.org/officeDocument/2006/relationships/image" Target="media/image51.png"/><Relationship Id="rId75" Type="http://schemas.openxmlformats.org/officeDocument/2006/relationships/image" Target="media/image52.png"/><Relationship Id="rId76" Type="http://schemas.openxmlformats.org/officeDocument/2006/relationships/image" Target="media/image53.png"/><Relationship Id="rId77" Type="http://schemas.openxmlformats.org/officeDocument/2006/relationships/image" Target="media/image54.png"/><Relationship Id="rId78" Type="http://schemas.openxmlformats.org/officeDocument/2006/relationships/image" Target="media/image55.png"/><Relationship Id="rId79" Type="http://schemas.openxmlformats.org/officeDocument/2006/relationships/image" Target="media/image56.png"/><Relationship Id="rId80" Type="http://schemas.openxmlformats.org/officeDocument/2006/relationships/image" Target="media/image57.png"/><Relationship Id="rId81" Type="http://schemas.openxmlformats.org/officeDocument/2006/relationships/image" Target="media/image58.png"/><Relationship Id="rId82" Type="http://schemas.openxmlformats.org/officeDocument/2006/relationships/image" Target="media/image59.png"/><Relationship Id="rId83" Type="http://schemas.openxmlformats.org/officeDocument/2006/relationships/image" Target="media/image60.png"/><Relationship Id="rId84" Type="http://schemas.openxmlformats.org/officeDocument/2006/relationships/image" Target="media/image61.png"/><Relationship Id="rId85" Type="http://schemas.openxmlformats.org/officeDocument/2006/relationships/image" Target="media/image62.png"/><Relationship Id="rId86" Type="http://schemas.openxmlformats.org/officeDocument/2006/relationships/image" Target="media/image63.png"/><Relationship Id="rId87" Type="http://schemas.openxmlformats.org/officeDocument/2006/relationships/image" Target="media/image64.png"/><Relationship Id="rId88" Type="http://schemas.openxmlformats.org/officeDocument/2006/relationships/image" Target="media/image65.png"/><Relationship Id="rId89" Type="http://schemas.openxmlformats.org/officeDocument/2006/relationships/image" Target="media/image66.png"/><Relationship Id="rId90" Type="http://schemas.openxmlformats.org/officeDocument/2006/relationships/image" Target="media/image67.png"/><Relationship Id="rId91" Type="http://schemas.openxmlformats.org/officeDocument/2006/relationships/image" Target="media/image68.png"/><Relationship Id="rId92" Type="http://schemas.openxmlformats.org/officeDocument/2006/relationships/image" Target="media/image69.png"/><Relationship Id="rId93" Type="http://schemas.openxmlformats.org/officeDocument/2006/relationships/image" Target="media/image70.png"/><Relationship Id="rId94" Type="http://schemas.openxmlformats.org/officeDocument/2006/relationships/image" Target="media/image71.png"/><Relationship Id="rId95" Type="http://schemas.openxmlformats.org/officeDocument/2006/relationships/image" Target="media/image72.png"/><Relationship Id="rId96" Type="http://schemas.openxmlformats.org/officeDocument/2006/relationships/image" Target="media/image73.png"/><Relationship Id="rId97" Type="http://schemas.openxmlformats.org/officeDocument/2006/relationships/image" Target="media/image74.png"/><Relationship Id="rId98" Type="http://schemas.openxmlformats.org/officeDocument/2006/relationships/image" Target="media/image75.png"/><Relationship Id="rId99" Type="http://schemas.openxmlformats.org/officeDocument/2006/relationships/image" Target="media/image76.png"/><Relationship Id="rId100" Type="http://schemas.openxmlformats.org/officeDocument/2006/relationships/image" Target="media/image77.png"/><Relationship Id="rId101" Type="http://schemas.openxmlformats.org/officeDocument/2006/relationships/image" Target="media/image78.png"/><Relationship Id="rId102" Type="http://schemas.openxmlformats.org/officeDocument/2006/relationships/image" Target="media/image79.png"/><Relationship Id="rId103" Type="http://schemas.openxmlformats.org/officeDocument/2006/relationships/image" Target="media/image80.png"/><Relationship Id="rId104" Type="http://schemas.openxmlformats.org/officeDocument/2006/relationships/image" Target="media/image81.png"/><Relationship Id="rId105" Type="http://schemas.openxmlformats.org/officeDocument/2006/relationships/image" Target="media/image82.png"/><Relationship Id="rId106" Type="http://schemas.openxmlformats.org/officeDocument/2006/relationships/image" Target="media/image83.png"/><Relationship Id="rId109" Type="http://schemas.openxmlformats.org/officeDocument/2006/relationships/image" Target="media/image84.png"/><Relationship Id="rId110" Type="http://schemas.openxmlformats.org/officeDocument/2006/relationships/image" Target="media/image85.png"/><Relationship Id="rId111" Type="http://schemas.openxmlformats.org/officeDocument/2006/relationships/image" Target="media/image86.png"/><Relationship Id="rId112" Type="http://schemas.openxmlformats.org/officeDocument/2006/relationships/image" Target="media/image87.jpeg"/><Relationship Id="rId113" Type="http://schemas.openxmlformats.org/officeDocument/2006/relationships/image" Target="media/image88.png"/><Relationship Id="rId114" Type="http://schemas.openxmlformats.org/officeDocument/2006/relationships/image" Target="media/image89.png"/><Relationship Id="rId115" Type="http://schemas.openxmlformats.org/officeDocument/2006/relationships/image" Target="media/image90.png"/><Relationship Id="rId116" Type="http://schemas.openxmlformats.org/officeDocument/2006/relationships/image" Target="media/image91.png"/><Relationship Id="rId117" Type="http://schemas.openxmlformats.org/officeDocument/2006/relationships/image" Target="media/image92.png"/><Relationship Id="rId118" Type="http://schemas.openxmlformats.org/officeDocument/2006/relationships/image" Target="media/image93.png"/><Relationship Id="rId56" Type="http://schemas.openxmlformats.org/officeDocument/2006/relationships/hyperlink" Target="https://www.sec.gov/ix?doc=/Archives/edgar/data/1731348/000156459022026894/tlry-10k_20220531.htm" TargetMode="External"/><Relationship Id="rId57" Type="http://schemas.openxmlformats.org/officeDocument/2006/relationships/hyperlink" Target="https://www.sec.gov/ix?doc=/Archives/edgar/data/1731348/000156459022033766/tlry-10ka_20220531.htm" TargetMode="External"/><Relationship Id="rId58" Type="http://schemas.openxmlformats.org/officeDocument/2006/relationships/hyperlink" Target="https://www.sec.gov/Archives/edgar/data/1731348/000114036122035780/ny20005311x4_def14a.htm" TargetMode="External"/><Relationship Id="rId59" Type="http://schemas.openxmlformats.org/officeDocument/2006/relationships/hyperlink" Target="https://www.sec.gov/ix?doc=/Archives/edgar/data/1731348/000143774922023827/tlry20220831_10q.htm" TargetMode="External"/><Relationship Id="rId60" Type="http://schemas.openxmlformats.org/officeDocument/2006/relationships/hyperlink" Target="https://www.sec.gov/ix?doc=/Archives/edgar/data/1731348/000143774923000736/tlry20221103_10q.htm" TargetMode="External"/><Relationship Id="rId61" Type="http://schemas.openxmlformats.org/officeDocument/2006/relationships/hyperlink" Target="https://www.sec.gov/ix?doc=/Archives/edgar/data/1731348/000143774923009857/tlry20230117_10q.htm" TargetMode="External"/><Relationship Id="rId62" Type="http://schemas.openxmlformats.org/officeDocument/2006/relationships/hyperlink" Target="https://www.sec.gov/ix?doc=/Archives/edgar/data/1731348/000156459022027682/tlry-8k_20220803.htm" TargetMode="External"/><Relationship Id="rId63" Type="http://schemas.openxmlformats.org/officeDocument/2006/relationships/hyperlink" Target="https://www.sec.gov/ix?doc=/Archives/edgar/data/1731348/000114036122031993/ny20005207x2_8k.htm" TargetMode="External"/><Relationship Id="rId64" Type="http://schemas.openxmlformats.org/officeDocument/2006/relationships/hyperlink" Target="https://www.sec.gov/ix?doc=/Archives/edgar/data/1731348/000143774922029457/tlry20221219_8k.htm" TargetMode="External"/><Relationship Id="rId65" Type="http://schemas.openxmlformats.org/officeDocument/2006/relationships/hyperlink" Target="https://www.sec.gov/ix?doc=/Archives/edgar/data/1731348/000143774923001246/tlry20230116_8k.htm" TargetMode="External"/><Relationship Id="rId66" Type="http://schemas.openxmlformats.org/officeDocument/2006/relationships/hyperlink" Target="https://www.sec.gov/ix?doc=/Archives/edgar/data/1731348/000143774923003544/tlry20230215_8k.htm" TargetMode="External"/><Relationship Id="rId67" Type="http://schemas.openxmlformats.org/officeDocument/2006/relationships/hyperlink" Target="https://www.sec.gov/ix?doc=/Archives/edgar/data/1731348/000114036123007736/ny20007663x2_8k.htm" TargetMode="External"/><Relationship Id="rId68" Type="http://schemas.openxmlformats.org/officeDocument/2006/relationships/hyperlink" Target="https://www.sec.gov/ix?doc=/Archives/edgar/data/1731348/000143774923005688/tlry20221129_8k.htm" TargetMode="External"/><Relationship Id="rId69" Type="http://schemas.openxmlformats.org/officeDocument/2006/relationships/hyperlink" Target="https://www.sec.gov/ix?doc=/Archives/edgar/data/1731348/000114036123012110/brhc10049898_8k.htm" TargetMode="External"/><Relationship Id="rId70" Type="http://schemas.openxmlformats.org/officeDocument/2006/relationships/hyperlink" Target="https://www.sec.gov/ix?doc=/Archives/edgar/data/1731348/000143774923009862/tlry20230410_8k.htm" TargetMode="External"/><Relationship Id="rId71" Type="http://schemas.openxmlformats.org/officeDocument/2006/relationships/hyperlink" Target="https://www.sec.gov/Archives/edgar/data/1731348/000119312520261461/d89853d8a12ba.htm" TargetMode="External"/><Relationship Id="rId107" Type="http://schemas.openxmlformats.org/officeDocument/2006/relationships/hyperlink" Target="https://www.sec.gov/Archives/edgar/data/1731348/000156459022026894/tlry-10k_20220531.htm" TargetMode="External"/><Relationship Id="rId108" Type="http://schemas.openxmlformats.org/officeDocument/2006/relationships/hyperlink" Target="https://www.sec.gov/Archives/edgar/data/1731348/000156459022027682/tlry-8k_202208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2023-05-26T07:40:59Z</dcterms:created>
  <dcterms:modified xsi:type="dcterms:W3CDTF">2023-05-26T07:40:59Z</dcterms:modified>
</cp:coreProperties>
</file>