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SIMON IRWIN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47"/>
        <w:gridCol w:w="438"/>
        <w:gridCol w:w="700"/>
        <w:gridCol w:w="1301"/>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408,605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1,147,918</w:t>
            </w:r>
            <w:r>
              <w:rPr>
                <w:rFonts w:ascii="Times;serif" w:hAnsi="Times;serif"/>
                <w:color w:val="008000"/>
                <w:position w:val="7"/>
                <w:sz w:val="16"/>
                <w:sz w:val="20"/>
                <w:shd w:fill="FFFFFF" w:val="clear"/>
              </w:rPr>
              <w:t>(2)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216,561</w:t>
            </w:r>
            <w:r>
              <w:rPr>
                <w:rFonts w:ascii="Times;serif" w:hAnsi="Times;serif"/>
                <w:color w:val="008000"/>
                <w:position w:val="7"/>
                <w:sz w:val="16"/>
                <w:sz w:val="20"/>
                <w:shd w:fill="FFFFFF" w:val="clear"/>
              </w:rPr>
              <w:t>(3)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931,357</w:t>
            </w:r>
            <w:r>
              <w:rPr>
                <w:rFonts w:ascii="Times;serif" w:hAnsi="Times;serif"/>
                <w:color w:val="008000"/>
                <w:position w:val="7"/>
                <w:sz w:val="16"/>
                <w:sz w:val="20"/>
                <w:shd w:fill="FFFFFF" w:val="clear"/>
              </w:rPr>
              <w:t>(2)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803,563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p>
        </w:tc>
        <w:tc>
          <w:tcPr>
            <w:tcW w:w="13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1,734,920</w:t>
            </w:r>
            <w:r>
              <w:rPr>
                <w:rFonts w:ascii="Times;serif" w:hAnsi="Times;serif"/>
                <w:color w:val="008000"/>
                <w:position w:val="7"/>
                <w:sz w:val="16"/>
                <w:sz w:val="20"/>
                <w:shd w:fill="FFFFFF" w:val="clear"/>
              </w:rPr>
              <w:t>(2)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425,889</w:t>
            </w:r>
            <w:r>
              <w:rPr>
                <w:rFonts w:ascii="Times;serif" w:hAnsi="Times;serif"/>
                <w:color w:val="008000"/>
                <w:position w:val="7"/>
                <w:sz w:val="16"/>
                <w:sz w:val="20"/>
                <w:shd w:fill="FFFFFF" w:val="clear"/>
              </w:rPr>
              <w:t>(3)</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1,309,031</w:t>
            </w:r>
            <w:r>
              <w:rPr>
                <w:rFonts w:ascii="Times;serif" w:hAnsi="Times;serif"/>
                <w:color w:val="008000"/>
                <w:position w:val="7"/>
                <w:sz w:val="16"/>
                <w:sz w:val="20"/>
                <w:shd w:fill="FFFFFF" w:val="clear"/>
              </w:rPr>
              <w:t>(2)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408,605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408,605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803,563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803,563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based restricted stock unit (the "2023 EBITDA PSU") represents the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shares of common stock beneficially owned by the reporting person but excludes other unvested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disposed were withheld by the Company to satisfy the applicable tax withholding obligation on vesting of the PSU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was granted 440,307 2023 EBITDA PSUs on July 26, 2023. The Compensation Committee has certified the achievement at 96.4% of the cumulative performance target for the 3-year performance period beginning June 1, 2023, and ending May 31, 2026, resulting in 92.8% payout of each 2023 EBITDA PSU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was granted 2023 EBITDA PSUs on July 26, 2023. The Compensation Committee has certified the achievement at 96.4% of the cumulative performance target for the 3-year performance period beginning June 1, 2023, and ending May 31, 2026, resulting in 92.8% payout of each 2023 EBITDA PSU award. Each PSU converts into one share of Issuer's common stock and the reporting person received the remainder cash value thereof in lieu of the delivery of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Irwin D. Simon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2748"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4416</Characters>
  <CharactersWithSpaces>5120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