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100826.htm"/>
      <w:bookmarkStart w:id="1" w:name="ksf8k_1008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October 8, 2026</w:t>
      </w:r>
    </w:p>
    <w:p>
      <w:pPr>
        <w:pStyle w:val="TextBody"/>
        <w:bidi w:val="0"/>
        <w:jc w:val="center"/>
        <w:rPr/>
      </w:pPr>
      <w:r>
        <w:rPr/>
        <w:t>_______________________________</w:t>
      </w:r>
    </w:p>
    <w:p>
      <w:pPr>
        <w:pStyle w:val="TextBody"/>
        <w:bidi w:val="0"/>
        <w:spacing w:before="120" w:after="283"/>
        <w:jc w:val="center"/>
        <w:rPr>
          <w:b/>
          <w:sz w:val="24"/>
        </w:rPr>
      </w:pPr>
      <w:r>
        <w:rPr>
          <w:b/>
          <w:sz w:val="24"/>
        </w:rPr>
        <w:t>Tilray Brands,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001-38594</w:t>
            </w:r>
          </w:p>
        </w:tc>
        <w:tc>
          <w:tcPr>
            <w:tcW w:w="2900" w:type="dxa"/>
            <w:tcBorders/>
            <w:vAlign w:val="center"/>
          </w:tcPr>
          <w:p>
            <w:pPr>
              <w:pStyle w:val="TableContents"/>
              <w:bidi w:val="0"/>
              <w:spacing w:before="0" w:after="283"/>
              <w:jc w:val="center"/>
              <w:rPr>
                <w:b/>
                <w:sz w:val="20"/>
              </w:rPr>
            </w:pPr>
            <w:r>
              <w:rPr>
                <w:b/>
                <w:sz w:val="20"/>
              </w:rPr>
              <w:t>82-4310622</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265 Talbot Street West</w:t>
      </w:r>
    </w:p>
    <w:p>
      <w:pPr>
        <w:pStyle w:val="TextBody"/>
        <w:bidi w:val="0"/>
        <w:spacing w:before="0" w:after="0"/>
        <w:jc w:val="center"/>
        <w:rPr>
          <w:b/>
          <w:sz w:val="20"/>
        </w:rPr>
      </w:pPr>
      <w:r>
        <w:rPr>
          <w:b/>
          <w:sz w:val="20"/>
        </w:rPr>
        <w:t>Leamington, Ontario N8H 4H3</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(844) 845-7291</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85" w:type="dxa"/>
        <w:jc w:val="left"/>
        <w:tblInd w:w="0" w:type="dxa"/>
        <w:tblLayout w:type="fixed"/>
        <w:tblCellMar>
          <w:top w:w="0" w:type="dxa"/>
          <w:left w:w="0" w:type="dxa"/>
          <w:bottom w:w="28" w:type="dxa"/>
          <w:right w:w="0" w:type="dxa"/>
        </w:tblCellMar>
      </w:tblPr>
      <w:tblGrid>
        <w:gridCol w:w="3575"/>
        <w:gridCol w:w="1535"/>
        <w:gridCol w:w="3575"/>
      </w:tblGrid>
      <w:tr>
        <w:trPr/>
        <w:tc>
          <w:tcPr>
            <w:tcW w:w="357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75" w:type="dxa"/>
            <w:tcBorders/>
            <w:tcMar>
              <w:bottom w:w="0" w:type="dxa"/>
            </w:tcMar>
            <w:vAlign w:val="center"/>
          </w:tcPr>
          <w:p>
            <w:pPr>
              <w:pStyle w:val="TableContents"/>
              <w:bidi w:val="0"/>
              <w:spacing w:before="0" w:after="283"/>
              <w:jc w:val="center"/>
              <w:rPr>
                <w:sz w:val="20"/>
              </w:rPr>
            </w:pPr>
            <w:r>
              <w:rPr>
                <w:sz w:val="20"/>
              </w:rPr>
              <w:t>Common stock, par value $0.0001 per share</w:t>
            </w:r>
          </w:p>
        </w:tc>
        <w:tc>
          <w:tcPr>
            <w:tcW w:w="1535" w:type="dxa"/>
            <w:tcBorders/>
            <w:tcMar>
              <w:bottom w:w="0" w:type="dxa"/>
            </w:tcMar>
            <w:vAlign w:val="center"/>
          </w:tcPr>
          <w:p>
            <w:pPr>
              <w:pStyle w:val="TableContents"/>
              <w:bidi w:val="0"/>
              <w:spacing w:before="0" w:after="283"/>
              <w:jc w:val="center"/>
              <w:rPr>
                <w:sz w:val="20"/>
              </w:rPr>
            </w:pPr>
            <w:r>
              <w:rPr>
                <w:sz w:val="20"/>
              </w:rPr>
              <w:t>TLRY</w:t>
            </w:r>
          </w:p>
        </w:tc>
        <w:tc>
          <w:tcPr>
            <w:tcW w:w="3575" w:type="dxa"/>
            <w:tcBorders/>
            <w:tcMar>
              <w:bottom w:w="0" w:type="dxa"/>
            </w:tcMar>
            <w:vAlign w:val="center"/>
          </w:tcPr>
          <w:p>
            <w:pPr>
              <w:pStyle w:val="TableContents"/>
              <w:bidi w:val="0"/>
              <w:spacing w:before="0" w:after="283"/>
              <w:jc w:val="center"/>
              <w:rPr>
                <w:sz w:val="20"/>
              </w:rPr>
            </w:pPr>
            <w:r>
              <w:rPr>
                <w:sz w:val="20"/>
              </w:rPr>
              <w:t>The NASDAQ Global Select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p>
    <w:p>
      <w:pPr>
        <w:pStyle w:val="TextBody"/>
        <w:bidi w:val="0"/>
        <w:jc w:val="left"/>
        <w:rPr>
          <w:sz w:val="20"/>
        </w:rPr>
      </w:pPr>
      <w:r>
        <w:rPr>
          <w:sz w:val="20"/>
        </w:rPr>
        <w:t>On October 8, 2026, the Registrant issued a press release, a copy of which is attached hereto as Exhibit 99.1 and is incorporated herein by reference.</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jc w:val="left"/>
        <w:rPr>
          <w:sz w:val="20"/>
        </w:rPr>
      </w:pPr>
      <w:r>
        <w:rPr>
          <w:sz w:val="20"/>
        </w:rPr>
        <w:t>(d) Exhibits</w:t>
      </w:r>
    </w:p>
    <w:tbl>
      <w:tblPr>
        <w:tblW w:w="7915" w:type="dxa"/>
        <w:jc w:val="left"/>
        <w:tblInd w:w="0" w:type="dxa"/>
        <w:tblLayout w:type="fixed"/>
        <w:tblCellMar>
          <w:top w:w="0" w:type="dxa"/>
          <w:left w:w="0" w:type="dxa"/>
          <w:bottom w:w="0" w:type="dxa"/>
          <w:right w:w="0" w:type="dxa"/>
        </w:tblCellMar>
      </w:tblPr>
      <w:tblGrid>
        <w:gridCol w:w="1385"/>
        <w:gridCol w:w="60"/>
        <w:gridCol w:w="6470"/>
      </w:tblGrid>
      <w:tr>
        <w:trPr/>
        <w:tc>
          <w:tcPr>
            <w:tcW w:w="1385" w:type="dxa"/>
            <w:tcBorders/>
            <w:vAlign w:val="bottom"/>
          </w:tcPr>
          <w:p>
            <w:pPr>
              <w:pStyle w:val="TableContents"/>
              <w:bidi w:val="0"/>
              <w:spacing w:before="0" w:after="283"/>
              <w:jc w:val="left"/>
              <w:rPr>
                <w:b/>
                <w:sz w:val="20"/>
                <w:u w:val="single"/>
              </w:rPr>
            </w:pPr>
            <w:r>
              <w:rPr>
                <w:b/>
                <w:sz w:val="20"/>
                <w:u w:val="single"/>
              </w:rPr>
              <w:t>Exhibit Number</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October 8, 2026</w:t>
              </w:r>
            </w:hyperlink>
          </w:p>
        </w:tc>
      </w:tr>
      <w:tr>
        <w:trPr/>
        <w:tc>
          <w:tcPr>
            <w:tcW w:w="138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140" w:type="dxa"/>
        <w:jc w:val="left"/>
        <w:tblInd w:w="0" w:type="dxa"/>
        <w:tblLayout w:type="fixed"/>
        <w:tblCellMar>
          <w:top w:w="0" w:type="dxa"/>
          <w:left w:w="0" w:type="dxa"/>
          <w:bottom w:w="0" w:type="dxa"/>
          <w:right w:w="0" w:type="dxa"/>
        </w:tblCellMar>
      </w:tblPr>
      <w:tblGrid>
        <w:gridCol w:w="1805"/>
        <w:gridCol w:w="365"/>
        <w:gridCol w:w="1970"/>
      </w:tblGrid>
      <w:tr>
        <w:trPr/>
        <w:tc>
          <w:tcPr>
            <w:tcW w:w="1805"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left"/>
              <w:rPr>
                <w:b/>
                <w:sz w:val="20"/>
              </w:rPr>
            </w:pPr>
            <w:r>
              <w:rPr>
                <w:b/>
                <w:sz w:val="20"/>
              </w:rPr>
              <w:t>Tilray Brands, Inc.</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sz w:val="20"/>
              </w:rPr>
            </w:pPr>
            <w:r>
              <w:rPr>
                <w:sz w:val="20"/>
              </w:rPr>
              <w:t>Date: October 8, 2026</w:t>
            </w:r>
          </w:p>
        </w:tc>
        <w:tc>
          <w:tcPr>
            <w:tcW w:w="365" w:type="dxa"/>
            <w:tcBorders/>
            <w:vAlign w:val="center"/>
          </w:tcPr>
          <w:p>
            <w:pPr>
              <w:pStyle w:val="TableContents"/>
              <w:bidi w:val="0"/>
              <w:spacing w:before="0" w:after="283"/>
              <w:jc w:val="left"/>
              <w:rPr>
                <w:sz w:val="20"/>
              </w:rPr>
            </w:pPr>
            <w:r>
              <w:rPr>
                <w:sz w:val="20"/>
              </w:rPr>
              <w:t>By: </w:t>
            </w:r>
          </w:p>
        </w:tc>
        <w:tc>
          <w:tcPr>
            <w:tcW w:w="1970" w:type="dxa"/>
            <w:tcBorders/>
            <w:vAlign w:val="center"/>
          </w:tcPr>
          <w:p>
            <w:pPr>
              <w:pStyle w:val="TableContents"/>
              <w:bidi w:val="0"/>
              <w:spacing w:before="0" w:after="283"/>
              <w:jc w:val="left"/>
              <w:rPr>
                <w:sz w:val="20"/>
                <w:u w:val="single"/>
              </w:rPr>
            </w:pPr>
            <w:r>
              <w:rPr>
                <w:sz w:val="20"/>
                <w:u w:val="single"/>
              </w:rPr>
              <w:t>/s/ Mitchell Gendel        </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20"/>
              </w:rPr>
            </w:pPr>
            <w:r>
              <w:rPr>
                <w:sz w:val="20"/>
              </w:rPr>
              <w:t>Mitchell Gendel</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20"/>
              </w:rPr>
            </w:pPr>
            <w:r>
              <w:rPr>
                <w:sz w:val="20"/>
              </w:rPr>
              <w:t>Global General Counsel</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Tilray Brands Delivers Record Q1 Fiscal 2027 Revenue and Record Q1 Gross Profit, Demonstrating the Power of Its Global Platform, Driven by Double-Digit Year-Over-Year Growth Across International Cannabis, Beverage and Pharmaceutical Distribution</w:t>
      </w:r>
    </w:p>
    <w:p>
      <w:pPr>
        <w:pStyle w:val="TextBody"/>
        <w:bidi w:val="0"/>
        <w:jc w:val="center"/>
        <w:rPr/>
      </w:pPr>
      <w:r>
        <w:rPr>
          <w:rStyle w:val="Emphasis"/>
        </w:rPr>
        <w:t>First-Quarter Results Reinforce Tilray’s Progress Converting Global Scale, Disciplined Execution and Category Leadership into Higher Revenue, Expanded Gross Profit and Continued Momentum</w:t>
      </w:r>
    </w:p>
    <w:p>
      <w:pPr>
        <w:pStyle w:val="TextBody"/>
        <w:bidi w:val="0"/>
        <w:jc w:val="center"/>
        <w:rPr/>
      </w:pPr>
      <w:r>
        <w:rPr>
          <w:rStyle w:val="Emphasis"/>
        </w:rPr>
        <w:t>Record First-Quarter Net Revenue of $257 Million, Up 23% Year-Over-Year, with Gross Margin Expanding by ~300 bps to 30%</w:t>
      </w:r>
    </w:p>
    <w:p>
      <w:pPr>
        <w:pStyle w:val="TextBody"/>
        <w:bidi w:val="0"/>
        <w:jc w:val="center"/>
        <w:rPr/>
      </w:pPr>
      <w:r>
        <w:rPr>
          <w:rStyle w:val="Emphasis"/>
        </w:rPr>
        <w:t>International Business Accelerates as EMEA Revenue Increases 71%, Growth Led by Medical Cannabis, Beverage and Pharmaceutical Distribution</w:t>
      </w:r>
    </w:p>
    <w:p>
      <w:pPr>
        <w:pStyle w:val="TextBody"/>
        <w:bidi w:val="0"/>
        <w:jc w:val="center"/>
        <w:rPr/>
      </w:pPr>
      <w:r>
        <w:rPr>
          <w:rStyle w:val="Emphasis"/>
        </w:rPr>
        <w:t>Tilray’s Global Beverage Business Delivers $101 Million in Revenue, Expands Gross Margin to 41% and BrewDog Achieves Profitability in Q1</w:t>
      </w:r>
    </w:p>
    <w:p>
      <w:pPr>
        <w:pStyle w:val="TextBody"/>
        <w:bidi w:val="0"/>
        <w:jc w:val="center"/>
        <w:rPr/>
      </w:pPr>
      <w:r>
        <w:rPr>
          <w:rStyle w:val="Emphasis"/>
        </w:rPr>
        <w:t>Reduced Outstanding Debt by $42 Million Fiscal Year-to-Date and Ended the Q1 with a Net Cash</w:t>
      </w:r>
      <w:r>
        <w:rPr>
          <w:rStyle w:val="Emphasis"/>
          <w:position w:val="8"/>
          <w:sz w:val="19"/>
        </w:rPr>
        <w:t>1</w:t>
      </w:r>
      <w:r>
        <w:rPr>
          <w:rStyle w:val="Emphasis"/>
        </w:rPr>
        <w:t xml:space="preserve"> Position, Strengthening Financial Flexibility and the Balance Sheet</w:t>
      </w:r>
    </w:p>
    <w:p>
      <w:pPr>
        <w:pStyle w:val="TextBody"/>
        <w:bidi w:val="0"/>
        <w:jc w:val="center"/>
        <w:rPr/>
      </w:pPr>
      <w:r>
        <w:rPr>
          <w:rStyle w:val="Emphasis"/>
        </w:rPr>
        <w:t>Tilray Reaffirms Fiscal 2027 Adjusted EBITDA</w:t>
      </w:r>
      <w:r>
        <w:rPr>
          <w:rStyle w:val="Emphasis"/>
          <w:position w:val="8"/>
          <w:sz w:val="19"/>
        </w:rPr>
        <w:t>3</w:t>
      </w:r>
      <w:r>
        <w:rPr>
          <w:rStyle w:val="Emphasis"/>
        </w:rPr>
        <w:t xml:space="preserve"> Guidance of $68 Million to $75 Million</w:t>
      </w:r>
    </w:p>
    <w:p>
      <w:pPr>
        <w:pStyle w:val="TextBody"/>
        <w:bidi w:val="0"/>
        <w:spacing w:before="0" w:after="283"/>
        <w:jc w:val="left"/>
        <w:rPr/>
      </w:pPr>
      <w:r>
        <w:rPr/>
        <w:t>NEW YORK and LONDON and LEAMINGTON, Ontario, Oct. 08, 2026 (GLOBE NEWSWIRE) -- Tilray Brands, Inc. (“Tilray”, “our”, “we” or the “Company”) (Nasdaq: TLRY; TSX: TLRY), a global lifestyle and consumer packaged goods company with leading positions across cannabis, beverage, hospitality and wellness, today reported financial results for its first fiscal quarter ended August 31, 2026. All financial information in this press release is reported in U.S. dollars, unless otherwise indicated.</w:t>
      </w:r>
    </w:p>
    <w:p>
      <w:pPr>
        <w:pStyle w:val="TextBody"/>
        <w:bidi w:val="0"/>
        <w:spacing w:before="0" w:after="283"/>
        <w:jc w:val="left"/>
        <w:rPr/>
      </w:pPr>
      <w:r>
        <w:rPr>
          <w:rStyle w:val="StrongEmphasis"/>
        </w:rPr>
        <w:t xml:space="preserve">Irwin D. Simon, Chairman and Chief Executive Officer, Tilray Brands, stated: </w:t>
      </w:r>
      <w:r>
        <w:rPr/>
        <w:t>“Tilray’s record first-quarter revenue and gross profit demonstrate the power of the diversified platform we have built and the momentum we are creating across cannabis, beverage, hospitality, wellness and pharmaceutical distribution. We are no longer dependent on a single market or regulatory catalyst. We have multiple engines of growth, a scaled international footprint and the ability to convert scale into stronger margins, greater efficiency and sustainable, profitable growth.”</w:t>
      </w:r>
    </w:p>
    <w:p>
      <w:pPr>
        <w:pStyle w:val="TextBody"/>
        <w:bidi w:val="0"/>
        <w:spacing w:before="0" w:after="283"/>
        <w:jc w:val="left"/>
        <w:rPr/>
      </w:pPr>
      <w:r>
        <w:rPr>
          <w:rStyle w:val="StrongEmphasis"/>
        </w:rPr>
        <w:t xml:space="preserve">Mr. Simon continued, </w:t>
      </w:r>
      <w:r>
        <w:rPr/>
        <w:t>“Our global platform is translating into leadership positions across our core categories. In cannabis, Tilray is a leading cannabis producer, with more than 6 million square feet of cultivation capacity across Canada, Portugal and Germany, and a leading low-cost production base in the world’s largest legally regulated markets, supported by one of the largest EU-GMP certified footprints in the world. In beer, the world’s largest consumed alcoholic beverage category, we are the #4 craft brewer in the U.S. and #1 in the U.K., and we are very proud that Carlsberg has partnered with Tilray to begin producing and selling its iconic brands in the U.S. market starting January 1, 2027. Across beverage and wellness, we are accelerating innovation and staying closer to consumers. These leadership positions reflect the work we have done to integrate our businesses, sharpen operations and build a more focused, profitable company. Tilray is building a category-defining global platform for the next generation of wellness, healthcare and consumer products, with the brands, infrastructure and scale to lead as these markets evolve.”</w:t>
      </w:r>
    </w:p>
    <w:p>
      <w:pPr>
        <w:pStyle w:val="TextBody"/>
        <w:bidi w:val="0"/>
        <w:spacing w:before="0" w:after="283"/>
        <w:jc w:val="left"/>
        <w:rPr/>
      </w:pPr>
      <w:r>
        <w:rPr/>
        <w:t>The quarter’s performance reflects Tilray’s focus on building durable growth across multiple categories, strengthening profitability and maintaining a disciplined balance sheet while investing behind the long-term opportunities we believe will define the future of cannabis, beverage, wellness and healthcare.</w:t>
      </w:r>
    </w:p>
    <w:p>
      <w:pPr>
        <w:pStyle w:val="TextBody"/>
        <w:bidi w:val="0"/>
        <w:spacing w:before="0" w:after="283"/>
        <w:jc w:val="left"/>
        <w:rPr/>
      </w:pPr>
      <w:r>
        <w:rPr>
          <w:rStyle w:val="StrongEmphasis"/>
        </w:rPr>
        <w:t xml:space="preserve">Financial Highlights </w:t>
      </w:r>
      <w:r>
        <w:rPr/>
        <w:br/>
      </w:r>
      <w:r>
        <w:rPr>
          <w:rStyle w:val="Emphasis"/>
        </w:rPr>
        <w:t>All comparisons made to the prior year period</w:t>
      </w:r>
    </w:p>
    <w:p>
      <w:pPr>
        <w:pStyle w:val="TextBody"/>
        <w:numPr>
          <w:ilvl w:val="0"/>
          <w:numId w:val="2"/>
        </w:numPr>
        <w:tabs>
          <w:tab w:val="clear" w:pos="1134"/>
          <w:tab w:val="left" w:pos="709" w:leader="none"/>
        </w:tabs>
        <w:bidi w:val="0"/>
        <w:spacing w:before="0" w:after="0"/>
        <w:ind w:left="709" w:hanging="283"/>
        <w:jc w:val="left"/>
        <w:rPr/>
      </w:pPr>
      <w:r>
        <w:rPr/>
        <w:t>Net revenue increased 23% year-over-year to $257.1 million in the first quarter, compared to $209.5 million.</w:t>
      </w:r>
    </w:p>
    <w:p>
      <w:pPr>
        <w:pStyle w:val="TextBody"/>
        <w:numPr>
          <w:ilvl w:val="0"/>
          <w:numId w:val="2"/>
        </w:numPr>
        <w:tabs>
          <w:tab w:val="clear" w:pos="1134"/>
          <w:tab w:val="left" w:pos="709" w:leader="none"/>
        </w:tabs>
        <w:bidi w:val="0"/>
        <w:spacing w:before="0" w:after="0"/>
        <w:ind w:left="709" w:hanging="283"/>
        <w:jc w:val="left"/>
        <w:rPr/>
      </w:pPr>
      <w:r>
        <w:rPr/>
        <w:t>Gross profit increased 35% year-over-year to $77.5 million in the first quarter, compared to $57.5 million, while gross margin expanded to 30% from 27%.</w:t>
      </w:r>
    </w:p>
    <w:p>
      <w:pPr>
        <w:pStyle w:val="TextBody"/>
        <w:numPr>
          <w:ilvl w:val="0"/>
          <w:numId w:val="2"/>
        </w:numPr>
        <w:tabs>
          <w:tab w:val="clear" w:pos="1134"/>
          <w:tab w:val="left" w:pos="709" w:leader="none"/>
        </w:tabs>
        <w:bidi w:val="0"/>
        <w:spacing w:before="0" w:after="0"/>
        <w:ind w:left="709" w:hanging="283"/>
        <w:jc w:val="left"/>
        <w:rPr/>
      </w:pPr>
      <w:r>
        <w:rPr/>
        <w:t xml:space="preserve">Cannabis net revenue was $56.1 million in the first quarter compared to $64.5 million. </w:t>
      </w:r>
    </w:p>
    <w:p>
      <w:pPr>
        <w:pStyle w:val="TextBody"/>
        <w:numPr>
          <w:ilvl w:val="1"/>
          <w:numId w:val="2"/>
        </w:numPr>
        <w:tabs>
          <w:tab w:val="clear" w:pos="1134"/>
          <w:tab w:val="left" w:pos="1418" w:leader="none"/>
        </w:tabs>
        <w:bidi w:val="0"/>
        <w:spacing w:before="0" w:after="0"/>
        <w:ind w:left="1418" w:hanging="283"/>
        <w:jc w:val="left"/>
        <w:rPr/>
      </w:pPr>
      <w:r>
        <w:rPr/>
        <w:t>Cannabis gross profit was $22.0 million in the first quarter compared to $23.3 million.</w:t>
      </w:r>
    </w:p>
    <w:p>
      <w:pPr>
        <w:pStyle w:val="TextBody"/>
        <w:numPr>
          <w:ilvl w:val="1"/>
          <w:numId w:val="2"/>
        </w:numPr>
        <w:tabs>
          <w:tab w:val="clear" w:pos="1134"/>
          <w:tab w:val="left" w:pos="1418" w:leader="none"/>
        </w:tabs>
        <w:bidi w:val="0"/>
        <w:spacing w:before="0" w:after="0"/>
        <w:ind w:left="1418" w:hanging="283"/>
        <w:jc w:val="left"/>
        <w:rPr/>
      </w:pPr>
      <w:r>
        <w:rPr/>
        <w:t>Cannabis gross margin expanded to 39% in the first quarter compared to 36%.</w:t>
      </w:r>
    </w:p>
    <w:p>
      <w:pPr>
        <w:pStyle w:val="TextBody"/>
        <w:numPr>
          <w:ilvl w:val="0"/>
          <w:numId w:val="2"/>
        </w:numPr>
        <w:tabs>
          <w:tab w:val="clear" w:pos="1134"/>
          <w:tab w:val="left" w:pos="709" w:leader="none"/>
        </w:tabs>
        <w:bidi w:val="0"/>
        <w:spacing w:before="0" w:after="0"/>
        <w:ind w:left="709" w:hanging="283"/>
        <w:jc w:val="left"/>
        <w:rPr/>
      </w:pPr>
      <w:r>
        <w:rPr/>
        <w:t xml:space="preserve">Beverage net revenue increased 82% year-over-year to $101.5 million in the first quarter, compared to $55.7 million, reflecting the acquisition of BrewDog. </w:t>
      </w:r>
    </w:p>
    <w:p>
      <w:pPr>
        <w:pStyle w:val="TextBody"/>
        <w:numPr>
          <w:ilvl w:val="1"/>
          <w:numId w:val="2"/>
        </w:numPr>
        <w:tabs>
          <w:tab w:val="clear" w:pos="1134"/>
          <w:tab w:val="left" w:pos="1418" w:leader="none"/>
        </w:tabs>
        <w:bidi w:val="0"/>
        <w:spacing w:before="0" w:after="0"/>
        <w:ind w:left="1418" w:hanging="283"/>
        <w:jc w:val="left"/>
        <w:rPr/>
      </w:pPr>
      <w:r>
        <w:rPr/>
        <w:t>Beverage gross profit increased to $42.0 million in the first quarter compared to $21.3 million.</w:t>
      </w:r>
    </w:p>
    <w:p>
      <w:pPr>
        <w:pStyle w:val="TextBody"/>
        <w:numPr>
          <w:ilvl w:val="1"/>
          <w:numId w:val="2"/>
        </w:numPr>
        <w:tabs>
          <w:tab w:val="clear" w:pos="1134"/>
          <w:tab w:val="left" w:pos="1418" w:leader="none"/>
        </w:tabs>
        <w:bidi w:val="0"/>
        <w:spacing w:before="0" w:after="0"/>
        <w:ind w:left="1418" w:hanging="283"/>
        <w:jc w:val="left"/>
        <w:rPr/>
      </w:pPr>
      <w:r>
        <w:rPr/>
        <w:t>Beverage gross margin expanded to 41% in the first quarter compared to 38%.</w:t>
      </w:r>
    </w:p>
    <w:p>
      <w:pPr>
        <w:pStyle w:val="TextBody"/>
        <w:numPr>
          <w:ilvl w:val="0"/>
          <w:numId w:val="2"/>
        </w:numPr>
        <w:tabs>
          <w:tab w:val="clear" w:pos="1134"/>
          <w:tab w:val="left" w:pos="709" w:leader="none"/>
        </w:tabs>
        <w:bidi w:val="0"/>
        <w:spacing w:before="0" w:after="0"/>
        <w:ind w:left="709" w:hanging="283"/>
        <w:jc w:val="left"/>
        <w:rPr/>
      </w:pPr>
      <w:r>
        <w:rPr/>
        <w:t xml:space="preserve">Distribution net revenue increased 14% to $84.3 million in the first quarter compared to $74.0 million. </w:t>
      </w:r>
    </w:p>
    <w:p>
      <w:pPr>
        <w:pStyle w:val="TextBody"/>
        <w:numPr>
          <w:ilvl w:val="1"/>
          <w:numId w:val="2"/>
        </w:numPr>
        <w:tabs>
          <w:tab w:val="clear" w:pos="1134"/>
          <w:tab w:val="left" w:pos="1418" w:leader="none"/>
        </w:tabs>
        <w:bidi w:val="0"/>
        <w:spacing w:before="0" w:after="0"/>
        <w:ind w:left="1418" w:hanging="283"/>
        <w:jc w:val="left"/>
        <w:rPr/>
      </w:pPr>
      <w:r>
        <w:rPr/>
        <w:t>Distribution gross profit increased $9.1 million in the first quarter compared to $8.0 million.</w:t>
      </w:r>
    </w:p>
    <w:p>
      <w:pPr>
        <w:pStyle w:val="TextBody"/>
        <w:numPr>
          <w:ilvl w:val="1"/>
          <w:numId w:val="2"/>
        </w:numPr>
        <w:tabs>
          <w:tab w:val="clear" w:pos="1134"/>
          <w:tab w:val="left" w:pos="1418" w:leader="none"/>
        </w:tabs>
        <w:bidi w:val="0"/>
        <w:spacing w:before="0" w:after="0"/>
        <w:ind w:left="1418" w:hanging="283"/>
        <w:jc w:val="left"/>
        <w:rPr/>
      </w:pPr>
      <w:r>
        <w:rPr/>
        <w:t>Distribution gross margin was 11% in the first quarter and was unchanged.</w:t>
      </w:r>
    </w:p>
    <w:p>
      <w:pPr>
        <w:pStyle w:val="TextBody"/>
        <w:numPr>
          <w:ilvl w:val="0"/>
          <w:numId w:val="2"/>
        </w:numPr>
        <w:tabs>
          <w:tab w:val="clear" w:pos="1134"/>
          <w:tab w:val="left" w:pos="709" w:leader="none"/>
        </w:tabs>
        <w:bidi w:val="0"/>
        <w:spacing w:before="0" w:after="0"/>
        <w:ind w:left="709" w:hanging="283"/>
        <w:jc w:val="left"/>
        <w:rPr/>
      </w:pPr>
      <w:r>
        <w:rPr/>
        <w:t xml:space="preserve">Wellness net revenue was $15.3 million, consistent with the previous year period. </w:t>
      </w:r>
    </w:p>
    <w:p>
      <w:pPr>
        <w:pStyle w:val="TextBody"/>
        <w:numPr>
          <w:ilvl w:val="1"/>
          <w:numId w:val="2"/>
        </w:numPr>
        <w:tabs>
          <w:tab w:val="clear" w:pos="1134"/>
          <w:tab w:val="left" w:pos="1418" w:leader="none"/>
        </w:tabs>
        <w:bidi w:val="0"/>
        <w:spacing w:before="0" w:after="0"/>
        <w:ind w:left="1418" w:hanging="283"/>
        <w:jc w:val="left"/>
        <w:rPr/>
      </w:pPr>
      <w:r>
        <w:rPr/>
        <w:t>Wellness gross profit was $4.4 million in the first quarter compared to $4.9 million.</w:t>
      </w:r>
    </w:p>
    <w:p>
      <w:pPr>
        <w:pStyle w:val="TextBody"/>
        <w:numPr>
          <w:ilvl w:val="1"/>
          <w:numId w:val="2"/>
        </w:numPr>
        <w:tabs>
          <w:tab w:val="clear" w:pos="1134"/>
          <w:tab w:val="left" w:pos="1418" w:leader="none"/>
        </w:tabs>
        <w:bidi w:val="0"/>
        <w:spacing w:before="0" w:after="0"/>
        <w:ind w:left="1418" w:hanging="283"/>
        <w:jc w:val="left"/>
        <w:rPr/>
      </w:pPr>
      <w:r>
        <w:rPr/>
        <w:t>Wellness gross margin was 29% in the first quarter compared to 32%.</w:t>
      </w:r>
    </w:p>
    <w:p>
      <w:pPr>
        <w:pStyle w:val="TextBody"/>
        <w:numPr>
          <w:ilvl w:val="0"/>
          <w:numId w:val="2"/>
        </w:numPr>
        <w:tabs>
          <w:tab w:val="clear" w:pos="1134"/>
          <w:tab w:val="left" w:pos="709" w:leader="none"/>
        </w:tabs>
        <w:bidi w:val="0"/>
        <w:spacing w:before="0" w:after="0"/>
        <w:ind w:left="709" w:hanging="283"/>
        <w:jc w:val="left"/>
        <w:rPr/>
      </w:pPr>
      <w:r>
        <w:rPr/>
        <w:t>Driven predominantly by non-cash charges, net loss was $40.0 million in the first quarter and net loss per share was $0.32. Adjusted net loss</w:t>
      </w:r>
      <w:r>
        <w:rPr>
          <w:position w:val="8"/>
          <w:sz w:val="19"/>
        </w:rPr>
        <w:t>2  </w:t>
      </w:r>
      <w:r>
        <w:rPr/>
        <w:t>was $3.0 million in the first quarter and adjusted net loss per share or adjusted EPS</w:t>
      </w:r>
      <w:r>
        <w:rPr>
          <w:position w:val="8"/>
          <w:sz w:val="19"/>
        </w:rPr>
        <w:t>2</w:t>
      </w:r>
      <w:r>
        <w:rPr/>
        <w:t xml:space="preserve"> was $0.02.</w:t>
      </w:r>
    </w:p>
    <w:p>
      <w:pPr>
        <w:pStyle w:val="TextBody"/>
        <w:numPr>
          <w:ilvl w:val="0"/>
          <w:numId w:val="2"/>
        </w:numPr>
        <w:tabs>
          <w:tab w:val="clear" w:pos="1134"/>
          <w:tab w:val="left" w:pos="709" w:leader="none"/>
        </w:tabs>
        <w:bidi w:val="0"/>
        <w:ind w:left="709" w:hanging="283"/>
        <w:jc w:val="left"/>
        <w:rPr/>
      </w:pPr>
      <w:r>
        <w:rPr/>
        <w:t>Adjusted EBITDA</w:t>
      </w:r>
      <w:r>
        <w:rPr>
          <w:position w:val="8"/>
          <w:sz w:val="19"/>
        </w:rPr>
        <w:t xml:space="preserve">3 </w:t>
      </w:r>
      <w:r>
        <w:rPr/>
        <w:t>was $9.2 million in the first quarter compared to $10.2 million; burdened by approximately $1.7 million of global fuel surcharges in this quarter.</w:t>
      </w:r>
    </w:p>
    <w:p>
      <w:pPr>
        <w:pStyle w:val="TextBody"/>
        <w:bidi w:val="0"/>
        <w:spacing w:before="0" w:after="283"/>
        <w:jc w:val="left"/>
        <w:rPr/>
      </w:pPr>
      <w:r>
        <w:rPr>
          <w:rStyle w:val="StrongEmphasis"/>
        </w:rPr>
        <w:t>Balance Sheet Update: </w:t>
      </w:r>
      <w:r>
        <w:rPr/>
        <w:t>Tilray’s balance sheet remains strong, supported by cash, restricted cash and marketable securities</w:t>
      </w:r>
      <w:r>
        <w:rPr>
          <w:position w:val="8"/>
          <w:sz w:val="19"/>
        </w:rPr>
        <w:t>4</w:t>
      </w:r>
      <w:r>
        <w:rPr/>
        <w:t xml:space="preserve"> of $221.4 million at the end of the first quarter. This position gives the Company financial flexibility to invest behind strategic growth opportunities, support integration priorities and maintain disciplined capital allocation. Fiscal year to date, Tilray also reduced total outstanding debt by $42 million.</w:t>
      </w:r>
    </w:p>
    <w:p>
      <w:pPr>
        <w:pStyle w:val="TextBody"/>
        <w:bidi w:val="0"/>
        <w:spacing w:before="0" w:after="283"/>
        <w:jc w:val="left"/>
        <w:rPr/>
      </w:pPr>
      <w:r>
        <w:rPr>
          <w:rStyle w:val="StrongEmphasis"/>
        </w:rPr>
        <w:t>Fiscal Year 2027 Guidance</w:t>
        <w:br/>
      </w:r>
      <w:r>
        <w:rPr/>
        <w:t>For its fiscal year ending May 31, 2027, the Company reaffirms its expectation to achieve adjusted EBITDA</w:t>
      </w:r>
      <w:r>
        <w:rPr>
          <w:position w:val="8"/>
          <w:sz w:val="19"/>
        </w:rPr>
        <w:t>3</w:t>
      </w:r>
      <w:r>
        <w:rPr/>
        <w:t xml:space="preserve"> of $68 million to $75 million, representing double-digit growth as compared to fiscal year 2026. Historically, due to the seasonality of our business, financial results are typically more weighted toward the second half of the fiscal year, with results strengthening significantly in the fourth quarter.</w:t>
      </w:r>
    </w:p>
    <w:p>
      <w:pPr>
        <w:pStyle w:val="TextBody"/>
        <w:bidi w:val="0"/>
        <w:spacing w:before="0" w:after="283"/>
        <w:jc w:val="left"/>
        <w:rPr/>
      </w:pPr>
      <w:r>
        <w:rPr/>
        <w:t>Management’s guidance for adjusted EBITDA</w:t>
      </w:r>
      <w:r>
        <w:rPr>
          <w:position w:val="8"/>
          <w:sz w:val="19"/>
        </w:rPr>
        <w:t>3</w:t>
      </w:r>
      <w:r>
        <w:rPr/>
        <w:t xml:space="preserve"> is provided on a non-GAAP basis and excludes stock-based compensation; change in fair value of contingent consideration; purchase price accounting step-up; impairments of intangible assets and goodwill; other than temporary change in fair value of convertible notes receivable; litigation costs; integration and restructuring costs; transaction-related costs; and other non-operating income (expenses) and non-recurring items that may be incurred during the Company’s fiscal year 2027, which the Company will continue to identify as it reports its future financial results.</w:t>
      </w:r>
    </w:p>
    <w:p>
      <w:pPr>
        <w:pStyle w:val="TextBody"/>
        <w:bidi w:val="0"/>
        <w:spacing w:before="0" w:after="283"/>
        <w:jc w:val="left"/>
        <w:rPr/>
      </w:pPr>
      <w:r>
        <w:rPr/>
        <w:t>The Company cannot reconcile its expected adjusted EBITDA</w:t>
      </w:r>
      <w:r>
        <w:rPr>
          <w:position w:val="8"/>
          <w:sz w:val="19"/>
        </w:rPr>
        <w:t>3</w:t>
      </w:r>
      <w:r>
        <w:rPr/>
        <w:t xml:space="preserve"> to net income under “Fiscal Year 2027 Guidance” without unreasonable effort because certain items that impact net income and other reconciling metrics are out of the Company’s control and/or cannot be reasonably predicted at this time.</w:t>
      </w:r>
    </w:p>
    <w:p>
      <w:pPr>
        <w:pStyle w:val="TextBody"/>
        <w:bidi w:val="0"/>
        <w:spacing w:before="0" w:after="283"/>
        <w:jc w:val="left"/>
        <w:rPr/>
      </w:pPr>
      <w:r>
        <w:rPr/>
        <w:t>____________________________________________________________________________________________________</w:t>
      </w:r>
    </w:p>
    <w:p>
      <w:pPr>
        <w:pStyle w:val="TextBody"/>
        <w:bidi w:val="0"/>
        <w:spacing w:before="0" w:after="283"/>
        <w:jc w:val="left"/>
        <w:rPr/>
      </w:pPr>
      <w:r>
        <w:rPr>
          <w:rStyle w:val="Emphasis"/>
          <w:position w:val="8"/>
          <w:sz w:val="19"/>
        </w:rPr>
        <w:t>(1) Net (debt) cash is a non-GAAP financial measure. See “Use of Non-GAAP Measures” below for additional discussion regarding these non-GAAP measures and for a reconciliation of such Non-GAAP Measures to our most comparable GAAP measure.</w:t>
        <w:br/>
        <w:t>(2) Adjusted net income (loss) and adjusted net income (loss) per share/Adjusted EPS are a non-GAAP financial measure. See “Use of Non-GAAP Measures” below for additional discussion regarding these non-GAAP measures and for a reconciliation of such Non-GAAP Measures to our most comparable GAAP measure.</w:t>
        <w:br/>
        <w:t>(3) Adjusted EBITDA is a non-GAAP financial measure. See “Use of Non-GAAP Measures” below for additional discussion regarding these non-GAAP measures and for a reconciliation of such Non-GAAP Measures to our most comparable GAAP measure.</w:t>
        <w:br/>
        <w:t>(4) Cash, restricted cash and Marketable Securities is a non-GAAP financial measure. See “Use of Non-GAAP Measures” below for additional discussion regarding these non-GAAP measures and for a reconciliation of such Non-GAAP Measures to our most comparable GAAP measure.</w:t>
      </w:r>
    </w:p>
    <w:p>
      <w:pPr>
        <w:pStyle w:val="TextBody"/>
        <w:bidi w:val="0"/>
        <w:spacing w:before="0" w:after="283"/>
        <w:jc w:val="left"/>
        <w:rPr/>
      </w:pPr>
      <w:r>
        <w:rPr>
          <w:rStyle w:val="StrongEmphasis"/>
        </w:rPr>
        <w:t>Live Audio Webcast</w:t>
      </w:r>
      <w:r>
        <w:rPr/>
        <w:br/>
        <w:t>Tilray Brands will host a webcast to discuss these results today at 8:30 AM Eastern Time. Investors may access the live webcast through the Events and Presentations section of Tilray’s Investor Relations website, where a replay will also be available and archived.</w:t>
      </w:r>
    </w:p>
    <w:p>
      <w:pPr>
        <w:pStyle w:val="TextBody"/>
        <w:bidi w:val="0"/>
        <w:spacing w:before="0" w:after="283"/>
        <w:jc w:val="left"/>
        <w:rPr/>
      </w:pPr>
      <w:r>
        <w:rPr>
          <w:rStyle w:val="StrongEmphasis"/>
        </w:rPr>
        <w:t>About Tilray Brands</w:t>
      </w:r>
      <w:r>
        <w:rPr/>
        <w:br/>
        <w:t>Tilray Brands, Inc. (“Tilray”) (Nasdaq: TLRY; TSX: TLRY), is a leading global lifestyle and consumer packaged goods company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and create memorable experiences. Tilray’s unprecedented platform supports over 40 brands in over 20 countries, including comprehensive cannabis offerings, hemp-based foods, and craft beverages.</w:t>
      </w:r>
    </w:p>
    <w:p>
      <w:pPr>
        <w:pStyle w:val="TextBody"/>
        <w:bidi w:val="0"/>
        <w:spacing w:before="0" w:after="283"/>
        <w:jc w:val="left"/>
        <w:rPr/>
      </w:pPr>
      <w:r>
        <w:rPr/>
        <w:t>For more information on how we are elevating lives through moments of connection, visit Tilray.com and follow @Tilray on all social platforms.</w:t>
      </w:r>
    </w:p>
    <w:p>
      <w:pPr>
        <w:pStyle w:val="TextBody"/>
        <w:bidi w:val="0"/>
        <w:spacing w:before="0" w:after="283"/>
        <w:jc w:val="left"/>
        <w:rPr/>
      </w:pPr>
      <w:r>
        <w:rPr>
          <w:rStyle w:val="StrongEmphasis"/>
        </w:rPr>
        <w:t>Cautionary Statement Concerning Forward-Looking Statements</w:t>
      </w:r>
      <w:r>
        <w:rPr/>
        <w:br/>
        <w:t>Certain statements in this press release constitute forward-looking information or forward-looking statements (together,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“position,”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w:t>
      </w:r>
    </w:p>
    <w:p>
      <w:pPr>
        <w:pStyle w:val="TextBody"/>
        <w:bidi w:val="0"/>
        <w:spacing w:before="0" w:after="283"/>
        <w:jc w:val="left"/>
        <w:rPr/>
      </w:pPr>
      <w:r>
        <w:rPr/>
        <w:t>Forward-looking statements include statements regarding our intentions, beliefs, projections, outlook, analyses or current expectations concerning, among other things: the Company’s ability to become a leading lifestyle consumer packaged goods company; the Company’s ability to become a leading beverage alcohol Company; the Company’s ability to achieve long term profitability; the Company’s ability to achieve operational scale, market share, distribution, profitability and revenue growth in particular business lines and markets; the Company’s ability to successfully achieve revenue growth, margin and profitability improvements, production and supply chain efficiencies, synergies and cost savings; the Company’s ability to achieve fiscal year 2027 financial guidance, including expected Adjusted EBITDA</w:t>
      </w:r>
      <w:r>
        <w:rPr>
          <w:position w:val="8"/>
          <w:sz w:val="19"/>
        </w:rPr>
        <w:t>3</w:t>
      </w:r>
      <w:r>
        <w:rPr/>
        <w:t xml:space="preserve"> of $68 to $75 million and synergy optimizations; the Company’s expected revenue growth, sales volume, profitability, synergies and accretion related to any of its acquisitions; expected opportunities in the U.S., including upon U.S. federal cannabis legalization or rescheduling and the Company’s ability to leverage its platform in connection therewith; the Company’s ability to successfully leverage artificial intelligence strategies; the Company’s anticipated investments and acquisitions, including in organic and strategic growth, partnership efforts, product offerings and other initiatives; and the Company’s ability to commercialize new and innovative products.</w:t>
      </w:r>
    </w:p>
    <w:p>
      <w:pPr>
        <w:pStyle w:val="TextBody"/>
        <w:bidi w:val="0"/>
        <w:spacing w:before="0" w:after="283"/>
        <w:jc w:val="left"/>
        <w:rPr/>
      </w:pPr>
      <w:r>
        <w:rPr/>
        <w:t>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information form of the Company and the Annual Report on Form 10-K (and other periodic reports filed with the SEC) of the Company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pStyle w:val="TextBody"/>
        <w:bidi w:val="0"/>
        <w:spacing w:before="0" w:after="283"/>
        <w:jc w:val="left"/>
        <w:rPr/>
      </w:pPr>
      <w:r>
        <w:rPr>
          <w:rStyle w:val="StrongEmphasis"/>
        </w:rPr>
        <w:t>Use of Non-U.S. GAAP Financial Measures</w:t>
      </w:r>
      <w:r>
        <w:rPr/>
        <w:br/>
        <w:t>This press release and the accompanying tables include non-GAAP financial measures, including Adjusted EBITDA</w:t>
      </w:r>
      <w:r>
        <w:rPr>
          <w:position w:val="8"/>
          <w:sz w:val="19"/>
        </w:rPr>
        <w:t>3</w:t>
      </w:r>
      <w:r>
        <w:rPr/>
        <w:t>, Adjusted cash operating income (loss), Adjusted net income (loss), Adjusted net income (loss) per share and or (“Adjusted EPS”), free cash flow, adjusted free cash flow, constant currency presentations of revenue, cash, restricted cash and marketable securities, and net (debt) cash. Management believes that the non-GAAP financial measures presented provide useful additional information to investors about current trends in the Company's operations and are useful for period-over-period comparisons of operations. These non-GAAP financial measures should not be considered in isolation or as a substitute for the comparable GAAP measures, nor should adjusted net income (loss) per share be used as a measure of liquidity. In addition, these non-GAAP measures may not be the same as similar measures provided by other companies due to potential differences in methods of calculation and items being excluded. They should be read only in connection with the Company's Consolidated Statements of Operations and Cash Flows presented in accordance with GAAP.</w:t>
      </w:r>
    </w:p>
    <w:p>
      <w:pPr>
        <w:pStyle w:val="TextBody"/>
        <w:bidi w:val="0"/>
        <w:spacing w:before="0" w:after="283"/>
        <w:jc w:val="left"/>
        <w:rPr/>
      </w:pPr>
      <w:r>
        <w:rPr/>
        <w:t>Certain forward-looking non-GAAP financial measures included in this press release are not reconciled to the comparable forward-looking GAAP financial measures. The Company is not able to reconcile these forward-looking non-GAAP financial measures to their most directly comparable forward-looking GAAP financial measures without unreasonable efforts because the Company is unable to predict with a reasonable degree of certainty the type and extent of certain items that would be expected to impact GAAP measures but would not impact the non-GAAP measures. Such items may include litigation and related expenses, transaction costs, impairments of intangible assets and goodwill, foreign exchange movements and other items. The unavailable information could have a significant impact on the Company's GAAP financial results.</w:t>
      </w:r>
    </w:p>
    <w:p>
      <w:pPr>
        <w:pStyle w:val="TextBody"/>
        <w:bidi w:val="0"/>
        <w:spacing w:before="0" w:after="283"/>
        <w:jc w:val="left"/>
        <w:rPr/>
      </w:pPr>
      <w:r>
        <w:rPr/>
        <w:t>The Company believes presenting net sales at constant currency provides useful information to investors because it provides transparency to underlying performance in the Company's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 A reconciliation of prior year revenue to constant currency revenue, the most directly comparable GAAP measure, has been provided in the financial statement tables included above in this press release.</w:t>
      </w:r>
    </w:p>
    <w:p>
      <w:pPr>
        <w:pStyle w:val="TextBody"/>
        <w:bidi w:val="0"/>
        <w:spacing w:before="0" w:after="283"/>
        <w:jc w:val="left"/>
        <w:rPr/>
      </w:pPr>
      <w:r>
        <w:rPr/>
        <w:t>Adjusted EBITDA</w:t>
      </w:r>
      <w:r>
        <w:rPr>
          <w:position w:val="8"/>
          <w:sz w:val="19"/>
        </w:rPr>
        <w:t>3</w:t>
      </w:r>
      <w:r>
        <w:rPr/>
        <w:t xml:space="preserve"> is calculated as net income (loss) before income tax expense (recovery), net; interest expense, net; non-operating income (expense), net; amortization; stock-based compensation; change in fair value of contingent consideration; project 420 optimization costs; litigation costs; restructuring costs, and transaction costs, net. A reconciliation of Adjusted EBITDA</w:t>
      </w:r>
      <w:r>
        <w:rPr>
          <w:position w:val="8"/>
          <w:sz w:val="19"/>
        </w:rPr>
        <w:t xml:space="preserve">3 </w:t>
      </w:r>
      <w:r>
        <w:rPr/>
        <w:t>to net income (loss), the most directly comparable GAAP measure, has been provided in the financial statement tables included below in this press release.</w:t>
      </w:r>
    </w:p>
    <w:p>
      <w:pPr>
        <w:pStyle w:val="TextBody"/>
        <w:bidi w:val="0"/>
        <w:spacing w:before="0" w:after="283"/>
        <w:jc w:val="left"/>
        <w:rPr/>
      </w:pPr>
      <w:r>
        <w:rPr/>
        <w:t>Adjusted cash operating income (loss) is calculated as operating loss, less; amortization; stock-based compensation; and change in fair value of contingent consideration. A reconciliation of adjusted cash operating income (loss) to operating loss, the most directly comparable GAAP measure, has been included below in this press release. Adjusted cash operating income (loss) is not calculated in accordance with GAAP and should not be considered an alternative for GAAP operating income or as a measure of liquidity.</w:t>
      </w:r>
    </w:p>
    <w:p>
      <w:pPr>
        <w:pStyle w:val="TextBody"/>
        <w:bidi w:val="0"/>
        <w:spacing w:before="0" w:after="283"/>
        <w:jc w:val="left"/>
        <w:rPr/>
      </w:pPr>
      <w:r>
        <w:rPr/>
        <w:t>Adjusted net income (loss) is calculated as net loss attributable to stockholders of Tilray Brands, Inc., less; non-operating income (expense), net; amortization; deferred income tax expense (benefits), net; stock-based compensation; Accretion of convertible debt discount; change in fair value of contingent consideration; project 420 optimization costs; litigation costs; restructuring costs and transaction costs, net. A reconciliation of Adjusted net income (loss) to net loss attributable to stockholders of Tilray Brands, Inc., the most directly comparable GAAP measure, has been included below in this press release.</w:t>
      </w:r>
    </w:p>
    <w:p>
      <w:pPr>
        <w:pStyle w:val="TextBody"/>
        <w:bidi w:val="0"/>
        <w:spacing w:before="0" w:after="283"/>
        <w:jc w:val="left"/>
        <w:rPr/>
      </w:pPr>
      <w:r>
        <w:rPr/>
        <w:t>Adjusted net income (loss) per share (and or adjusted EPS) is calculated as adjusted net income (loss) divided by weighted average number of common shares outstanding. A reconciliation of Adjusted net income (loss) per share to net loss attributable to stockholders of Tilray Brands, Inc., the most directly comparable GAAP measure, has been included below in this press release. Adjusted net income (loss) per share is not calculated in accordance with GAAP and should not be considered an alternative for GAAP net income (loss) per share or as a measure of liquidity.</w:t>
      </w:r>
    </w:p>
    <w:p>
      <w:pPr>
        <w:pStyle w:val="TextBody"/>
        <w:bidi w:val="0"/>
        <w:spacing w:before="0" w:after="283"/>
        <w:jc w:val="left"/>
        <w:rPr/>
      </w:pPr>
      <w:r>
        <w:rPr/>
        <w:t>Free cash flow is comprised of two GAAP measures which are net cash flow provided by (used in) operating activities less investments in capital and intangible assets, net. A reconciliation of net cash flow provided by (used in) operating activities to free cash flow, the most directly comparable GAAP measure, has been provided in the financial statement tables included above in this press release. Adjusted free cash flow is comprised of two GAAP measures which are net cash flow provided by (used in) operating activities less investments in capital and intangible assets, net, and the exclusion of growth CAPEX from investments in capital and intangible assets, net, which excludes the amount of capital expenditures that are considered to be associated with growth of future operations rather than to maintain the existing operations of the Company, and excludes cash paid for litigation settlements. A reconciliation of net cash flow provided by (used in) operating activities to adjusted free cash flow, the most directly comparable GAAP measure, has been provided in the financial statement tables included above in this press release.</w:t>
      </w:r>
    </w:p>
    <w:p>
      <w:pPr>
        <w:pStyle w:val="TextBody"/>
        <w:bidi w:val="0"/>
        <w:spacing w:before="0" w:after="283"/>
        <w:jc w:val="left"/>
        <w:rPr/>
      </w:pPr>
      <w:r>
        <w:rPr/>
        <w:t>Cash, restricted cash and marketable securities are comprised of three GAAP measures, cash and cash equivalents and restricted cash added to marketable securities. The Company’s management believes that this presentation provides useful information to management, analysts and investors regarding certain additional financial and business trends relating to its short-term liquidity position by combining these three GAAP metrics.</w:t>
      </w:r>
    </w:p>
    <w:p>
      <w:pPr>
        <w:pStyle w:val="TextBody"/>
        <w:bidi w:val="0"/>
        <w:spacing w:before="0" w:after="283"/>
        <w:jc w:val="left"/>
        <w:rPr/>
      </w:pPr>
      <w:r>
        <w:rPr/>
        <w:t>Net (debt) cash is comprised of GAAP measures and reduces bank indebtedness, current and non-current portions of long-term debt, the principal balance of convertible debt by cash and cash equivalents and marketable securities. The Company believes this metric provides useful information to management, analysts, and investors regarding its liquidity and the Company’s ability to repay all of its debt.</w:t>
      </w:r>
    </w:p>
    <w:p>
      <w:pPr>
        <w:pStyle w:val="TextBody"/>
        <w:bidi w:val="0"/>
        <w:spacing w:before="0" w:after="283"/>
        <w:jc w:val="left"/>
        <w:rPr/>
      </w:pPr>
      <w:r>
        <w:rPr>
          <w:rStyle w:val="StrongEmphasis"/>
        </w:rPr>
        <w:t>Contacts:</w:t>
      </w:r>
      <w:r>
        <w:rPr/>
        <w:br/>
        <w:t>Investor Relations</w:t>
        <w:br/>
        <w:t xml:space="preserve">investors@tilray.com </w:t>
        <w:br/>
        <w:t>Pro-TLRY@prosek.com</w:t>
      </w:r>
    </w:p>
    <w:p>
      <w:pPr>
        <w:pStyle w:val="TextBody"/>
        <w:bidi w:val="0"/>
        <w:spacing w:before="0" w:after="283"/>
        <w:jc w:val="left"/>
        <w:rPr/>
      </w:pPr>
      <w:r>
        <w:rPr/>
        <w:t>Media</w:t>
        <w:br/>
        <w:t>news@tilray.com</w:t>
      </w:r>
    </w:p>
    <w:p>
      <w:pPr>
        <w:pStyle w:val="TextBody"/>
        <w:bidi w:val="0"/>
        <w:spacing w:before="0" w:after="283"/>
        <w:jc w:val="left"/>
        <w:rPr/>
      </w:pPr>
      <w:r>
        <w:rPr>
          <w:rStyle w:val="StrongEmphasis"/>
        </w:rPr>
        <w:t>The accompanying excerpts of the interim condensed consolidated financial statements are unaudited and have been prepared in accordance with U.S. GAAP. </w:t>
      </w:r>
    </w:p>
    <w:tbl>
      <w:tblPr>
        <w:tblW w:w="10205" w:type="dxa"/>
        <w:jc w:val="left"/>
        <w:tblInd w:w="0" w:type="dxa"/>
        <w:tblLayout w:type="fixed"/>
        <w:tblCellMar>
          <w:top w:w="28" w:type="dxa"/>
          <w:left w:w="28" w:type="dxa"/>
          <w:bottom w:w="28" w:type="dxa"/>
          <w:right w:w="28" w:type="dxa"/>
        </w:tblCellMar>
      </w:tblPr>
      <w:tblGrid>
        <w:gridCol w:w="6918"/>
        <w:gridCol w:w="226"/>
        <w:gridCol w:w="1141"/>
        <w:gridCol w:w="181"/>
        <w:gridCol w:w="146"/>
        <w:gridCol w:w="226"/>
        <w:gridCol w:w="1141"/>
        <w:gridCol w:w="226"/>
      </w:tblGrid>
      <w:tr>
        <w:trPr/>
        <w:tc>
          <w:tcPr>
            <w:tcW w:w="6918" w:type="dxa"/>
            <w:tcBorders/>
            <w:vAlign w:val="center"/>
          </w:tcPr>
          <w:p>
            <w:pPr>
              <w:pStyle w:val="TableContents"/>
              <w:bidi w:val="0"/>
              <w:spacing w:before="0" w:after="283"/>
              <w:jc w:val="left"/>
              <w:rPr/>
            </w:pPr>
            <w:r>
              <w:rPr>
                <w:rStyle w:val="StrongEmphasis"/>
              </w:rPr>
              <w:t>Consolidated Statements of Financial Position</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6918"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center"/>
              <w:rPr/>
            </w:pPr>
            <w:r>
              <w:rPr>
                <w:rStyle w:val="StrongEmphasis"/>
              </w:rPr>
              <w:t>August 31,</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center"/>
              <w:rPr/>
            </w:pPr>
            <w:r>
              <w:rPr>
                <w:rStyle w:val="StrongEmphasis"/>
              </w:rPr>
              <w:t>May 31,</w:t>
            </w:r>
          </w:p>
        </w:tc>
      </w:tr>
      <w:tr>
        <w:trPr/>
        <w:tc>
          <w:tcPr>
            <w:tcW w:w="6918" w:type="dxa"/>
            <w:tcBorders/>
            <w:vAlign w:val="center"/>
          </w:tcPr>
          <w:p>
            <w:pPr>
              <w:pStyle w:val="TableContents"/>
              <w:bidi w:val="0"/>
              <w:spacing w:before="0" w:after="283"/>
              <w:jc w:val="left"/>
              <w:rPr/>
            </w:pPr>
            <w:r>
              <w:rPr>
                <w:rStyle w:val="StrongEmphasis"/>
              </w:rPr>
              <w:t>(in thousands of US dollars)</w:t>
            </w:r>
          </w:p>
        </w:tc>
        <w:tc>
          <w:tcPr>
            <w:tcW w:w="15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right"/>
              <w:rPr/>
            </w:pPr>
            <w:r>
              <w:rPr/>
              <w:t> </w:t>
            </w:r>
          </w:p>
        </w:tc>
        <w:tc>
          <w:tcPr>
            <w:tcW w:w="15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r>
      <w:tr>
        <w:trPr/>
        <w:tc>
          <w:tcPr>
            <w:tcW w:w="6918" w:type="dxa"/>
            <w:tcBorders/>
            <w:vAlign w:val="center"/>
          </w:tcPr>
          <w:p>
            <w:pPr>
              <w:pStyle w:val="TableContents"/>
              <w:bidi w:val="0"/>
              <w:spacing w:before="0" w:after="283"/>
              <w:jc w:val="left"/>
              <w:rPr/>
            </w:pPr>
            <w:r>
              <w:rPr>
                <w:rStyle w:val="StrongEmphasis"/>
              </w:rPr>
              <w:t>Assets</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6918" w:type="dxa"/>
            <w:tcBorders/>
            <w:vAlign w:val="center"/>
          </w:tcPr>
          <w:p>
            <w:pPr>
              <w:pStyle w:val="TableContents"/>
              <w:bidi w:val="0"/>
              <w:spacing w:before="0" w:after="283"/>
              <w:jc w:val="left"/>
              <w:rPr/>
            </w:pPr>
            <w:r>
              <w:rPr>
                <w:rStyle w:val="StrongEmphasis"/>
              </w:rPr>
              <w:t>Current assets</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214,960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225,977</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Restricted cash</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3,383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3,365</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Marketable securities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3,047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5,289</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Accounts receivable, net</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190,617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189,170</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Inventory</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328,973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301,192</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Prepaids and other current assets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64,160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64,692</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Assets held for sale</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2,449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2,449</w:t>
            </w:r>
          </w:p>
        </w:tc>
        <w:tc>
          <w:tcPr>
            <w:tcW w:w="226" w:type="dxa"/>
            <w:tcBorders/>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left"/>
              <w:rPr/>
            </w:pPr>
            <w:r>
              <w:rPr>
                <w:rStyle w:val="StrongEmphasis"/>
              </w:rPr>
              <w:t>Total current assets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807,589</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792,134</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Capital assets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665,923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680,225</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Operating lease, right-of-use assets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42,030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42,318</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Digital assets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720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674</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Intangible assets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42,468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42,779</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Goodwill</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752,350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752,350</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Long-term investments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6,365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6,551</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Other assets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10,509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10,981</w:t>
            </w:r>
          </w:p>
        </w:tc>
        <w:tc>
          <w:tcPr>
            <w:tcW w:w="226" w:type="dxa"/>
            <w:tcBorders/>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left"/>
              <w:rPr/>
            </w:pPr>
            <w:r>
              <w:rPr>
                <w:rStyle w:val="StrongEmphasis"/>
              </w:rPr>
              <w:t>Total assets</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2,327,954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2,328,012</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left"/>
              <w:rPr/>
            </w:pPr>
            <w:r>
              <w:rPr>
                <w:rStyle w:val="StrongEmphasis"/>
              </w:rPr>
              <w:t>Liabilities</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6918" w:type="dxa"/>
            <w:tcBorders/>
            <w:vAlign w:val="center"/>
          </w:tcPr>
          <w:p>
            <w:pPr>
              <w:pStyle w:val="TableContents"/>
              <w:bidi w:val="0"/>
              <w:spacing w:before="0" w:after="283"/>
              <w:jc w:val="left"/>
              <w:rPr/>
            </w:pPr>
            <w:r>
              <w:rPr>
                <w:rStyle w:val="StrongEmphasis"/>
              </w:rPr>
              <w:t>Current liabilities</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Bank indebtedness</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8,688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8,775</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Accounts payable and accrued liabilities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335,415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318,088</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Current portion of lease liabilities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11,902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13,357</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Current portion of long-term debt</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15,457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18,160</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Current portion of convertible debentures payable</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59,224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left"/>
              <w:rPr/>
            </w:pPr>
            <w:r>
              <w:rPr>
                <w:rStyle w:val="StrongEmphasis"/>
              </w:rPr>
              <w:t>Total current liabilities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430,686</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358,380</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left"/>
              <w:rPr/>
            </w:pPr>
            <w:r>
              <w:rPr>
                <w:rStyle w:val="StrongEmphasis"/>
              </w:rPr>
              <w:t>Long - term liabilities</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Lease liabilities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158,610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158,155</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Long-term debt</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118,046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120,425</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Convertible debentures payable</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79,529</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Deferred tax liabilities, net</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9,746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12,256</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Other liabilities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4,192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4,400</w:t>
            </w:r>
          </w:p>
        </w:tc>
        <w:tc>
          <w:tcPr>
            <w:tcW w:w="226" w:type="dxa"/>
            <w:tcBorders/>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left"/>
              <w:rPr/>
            </w:pPr>
            <w:r>
              <w:rPr>
                <w:rStyle w:val="StrongEmphasis"/>
              </w:rPr>
              <w:t>Total liabilities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721,280</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733,145</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left"/>
              <w:rPr/>
            </w:pPr>
            <w:r>
              <w:rPr>
                <w:rStyle w:val="StrongEmphasis"/>
              </w:rPr>
              <w:t>Stockholders' equity</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Common stock ($0.0001 par value; 1,416,000,000 common shares authorized; 144,936,074 and 131,683,075 common shares issued and outstanding, respectively)</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132</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Treasury Stock (1,124,869 and 589,217 treasury shares issued and outstanding, respectively)</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Preferred shares ($0.0001 par value; 10,000,000 preferred shares authorized; nil and nil preferred shares issued and outstanding, respectively)</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Additional paid-in capital</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6,674,469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6,627,056</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Accumulated other comprehensive loss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(39,492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(44,233</w:t>
            </w:r>
          </w:p>
        </w:tc>
        <w:tc>
          <w:tcPr>
            <w:tcW w:w="226" w:type="dxa"/>
            <w:tcBorders/>
            <w:vAlign w:val="center"/>
          </w:tcPr>
          <w:p>
            <w:pPr>
              <w:pStyle w:val="TableContents"/>
              <w:bidi w:val="0"/>
              <w:spacing w:before="0" w:after="283"/>
              <w:jc w:val="left"/>
              <w:rPr/>
            </w:pPr>
            <w:r>
              <w:rPr/>
              <w:t>)</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Accumulated deficit</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(5,011,764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(4,968,623</w:t>
            </w:r>
          </w:p>
        </w:tc>
        <w:tc>
          <w:tcPr>
            <w:tcW w:w="226" w:type="dxa"/>
            <w:tcBorders/>
            <w:vAlign w:val="center"/>
          </w:tcPr>
          <w:p>
            <w:pPr>
              <w:pStyle w:val="TableContents"/>
              <w:bidi w:val="0"/>
              <w:spacing w:before="0" w:after="283"/>
              <w:jc w:val="left"/>
              <w:rPr/>
            </w:pPr>
            <w:r>
              <w:rPr/>
              <w:t>)</w:t>
            </w:r>
          </w:p>
        </w:tc>
      </w:tr>
      <w:tr>
        <w:trPr/>
        <w:tc>
          <w:tcPr>
            <w:tcW w:w="6918" w:type="dxa"/>
            <w:tcBorders/>
            <w:vAlign w:val="center"/>
          </w:tcPr>
          <w:p>
            <w:pPr>
              <w:pStyle w:val="TableContents"/>
              <w:bidi w:val="0"/>
              <w:spacing w:before="0" w:after="283"/>
              <w:jc w:val="left"/>
              <w:rPr/>
            </w:pPr>
            <w:r>
              <w:rPr>
                <w:rStyle w:val="StrongEmphasis"/>
              </w:rPr>
              <w:t>Total Tilray Brands, Inc. stockholders' equity</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1,623,358</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1,614,332</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Non-controlling interests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(16,684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(19,465</w:t>
            </w:r>
          </w:p>
        </w:tc>
        <w:tc>
          <w:tcPr>
            <w:tcW w:w="226" w:type="dxa"/>
            <w:tcBorders/>
            <w:vAlign w:val="center"/>
          </w:tcPr>
          <w:p>
            <w:pPr>
              <w:pStyle w:val="TableContents"/>
              <w:bidi w:val="0"/>
              <w:spacing w:before="0" w:after="283"/>
              <w:jc w:val="left"/>
              <w:rPr/>
            </w:pPr>
            <w:r>
              <w:rPr/>
              <w:t>)</w:t>
            </w:r>
          </w:p>
        </w:tc>
      </w:tr>
      <w:tr>
        <w:trPr/>
        <w:tc>
          <w:tcPr>
            <w:tcW w:w="6918" w:type="dxa"/>
            <w:tcBorders/>
            <w:vAlign w:val="center"/>
          </w:tcPr>
          <w:p>
            <w:pPr>
              <w:pStyle w:val="TableContents"/>
              <w:bidi w:val="0"/>
              <w:spacing w:before="0" w:after="283"/>
              <w:jc w:val="left"/>
              <w:rPr/>
            </w:pPr>
            <w:r>
              <w:rPr>
                <w:rStyle w:val="StrongEmphasis"/>
              </w:rPr>
              <w:t>Total stockholders' equity</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1,606,674</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1,594,867</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left"/>
              <w:rPr/>
            </w:pPr>
            <w:r>
              <w:rPr>
                <w:rStyle w:val="StrongEmphasis"/>
              </w:rPr>
              <w:t>Total liabilities and stockholders' equity</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2,327,954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2,328,012</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712"/>
        <w:gridCol w:w="253"/>
        <w:gridCol w:w="1463"/>
        <w:gridCol w:w="202"/>
        <w:gridCol w:w="163"/>
        <w:gridCol w:w="253"/>
        <w:gridCol w:w="1463"/>
        <w:gridCol w:w="202"/>
        <w:gridCol w:w="162"/>
        <w:gridCol w:w="251"/>
        <w:gridCol w:w="1321"/>
        <w:gridCol w:w="201"/>
        <w:gridCol w:w="162"/>
        <w:gridCol w:w="931"/>
        <w:gridCol w:w="466"/>
      </w:tblGrid>
      <w:tr>
        <w:trPr/>
        <w:tc>
          <w:tcPr>
            <w:tcW w:w="6711" w:type="dxa"/>
            <w:gridSpan w:val="8"/>
            <w:tcBorders/>
            <w:vAlign w:val="center"/>
          </w:tcPr>
          <w:p>
            <w:pPr>
              <w:pStyle w:val="TableContents"/>
              <w:bidi w:val="0"/>
              <w:spacing w:before="0" w:after="283"/>
              <w:jc w:val="left"/>
              <w:rPr/>
            </w:pPr>
            <w:r>
              <w:rPr>
                <w:rStyle w:val="StrongEmphasis"/>
              </w:rPr>
              <w:t>Condensed Consolidated Statements of Net Income (Loss) and Comprehensive Income (Loss)</w:t>
            </w:r>
          </w:p>
        </w:tc>
        <w:tc>
          <w:tcPr>
            <w:tcW w:w="162"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left"/>
              <w:rPr/>
            </w:pPr>
            <w:r>
              <w:rPr/>
              <w:t> </w:t>
            </w:r>
          </w:p>
        </w:tc>
      </w:tr>
      <w:tr>
        <w:trPr/>
        <w:tc>
          <w:tcPr>
            <w:tcW w:w="2712" w:type="dxa"/>
            <w:tcBorders/>
            <w:vAlign w:val="center"/>
          </w:tcPr>
          <w:p>
            <w:pPr>
              <w:pStyle w:val="TableContents"/>
              <w:bidi w:val="0"/>
              <w:spacing w:before="0" w:after="283"/>
              <w:jc w:val="left"/>
              <w:rPr/>
            </w:pPr>
            <w:r>
              <w:rPr/>
              <w:t> </w:t>
            </w:r>
          </w:p>
        </w:tc>
        <w:tc>
          <w:tcPr>
            <w:tcW w:w="3999" w:type="dxa"/>
            <w:gridSpan w:val="7"/>
            <w:tcBorders/>
            <w:vAlign w:val="center"/>
          </w:tcPr>
          <w:p>
            <w:pPr>
              <w:pStyle w:val="TableContents"/>
              <w:bidi w:val="0"/>
              <w:spacing w:before="0" w:after="283"/>
              <w:jc w:val="center"/>
              <w:rPr/>
            </w:pPr>
            <w:r>
              <w:rPr>
                <w:rStyle w:val="StrongEmphasis"/>
              </w:rPr>
              <w:t>For the three months ended</w:t>
            </w:r>
          </w:p>
        </w:tc>
        <w:tc>
          <w:tcPr>
            <w:tcW w:w="162" w:type="dxa"/>
            <w:tcBorders/>
            <w:vAlign w:val="center"/>
          </w:tcPr>
          <w:p>
            <w:pPr>
              <w:pStyle w:val="TableContents"/>
              <w:bidi w:val="0"/>
              <w:spacing w:before="0" w:after="283"/>
              <w:jc w:val="right"/>
              <w:rPr/>
            </w:pPr>
            <w:r>
              <w:rPr/>
              <w:t> </w:t>
            </w:r>
          </w:p>
        </w:tc>
        <w:tc>
          <w:tcPr>
            <w:tcW w:w="1773" w:type="dxa"/>
            <w:gridSpan w:val="3"/>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right"/>
              <w:rPr/>
            </w:pPr>
            <w:r>
              <w:rPr/>
              <w:t> </w:t>
            </w:r>
          </w:p>
        </w:tc>
      </w:tr>
      <w:tr>
        <w:trPr/>
        <w:tc>
          <w:tcPr>
            <w:tcW w:w="2712" w:type="dxa"/>
            <w:tcBorders/>
            <w:vAlign w:val="center"/>
          </w:tcPr>
          <w:p>
            <w:pPr>
              <w:pStyle w:val="TableContents"/>
              <w:bidi w:val="0"/>
              <w:spacing w:before="0" w:after="283"/>
              <w:jc w:val="center"/>
              <w:rPr/>
            </w:pPr>
            <w:r>
              <w:rPr/>
              <w:t> </w:t>
            </w:r>
          </w:p>
        </w:tc>
        <w:tc>
          <w:tcPr>
            <w:tcW w:w="1918" w:type="dxa"/>
            <w:gridSpan w:val="3"/>
            <w:tcBorders/>
            <w:vAlign w:val="center"/>
          </w:tcPr>
          <w:p>
            <w:pPr>
              <w:pStyle w:val="TableContents"/>
              <w:bidi w:val="0"/>
              <w:spacing w:before="0" w:after="283"/>
              <w:jc w:val="center"/>
              <w:rPr/>
            </w:pPr>
            <w:r>
              <w:rPr>
                <w:rStyle w:val="StrongEmphasis"/>
              </w:rPr>
              <w:t>August 31,</w:t>
            </w:r>
          </w:p>
        </w:tc>
        <w:tc>
          <w:tcPr>
            <w:tcW w:w="163" w:type="dxa"/>
            <w:tcBorders/>
            <w:vAlign w:val="center"/>
          </w:tcPr>
          <w:p>
            <w:pPr>
              <w:pStyle w:val="TableContents"/>
              <w:bidi w:val="0"/>
              <w:spacing w:before="0" w:after="283"/>
              <w:jc w:val="center"/>
              <w:rPr/>
            </w:pPr>
            <w:r>
              <w:rPr/>
              <w:t> </w:t>
            </w:r>
          </w:p>
        </w:tc>
        <w:tc>
          <w:tcPr>
            <w:tcW w:w="1918" w:type="dxa"/>
            <w:gridSpan w:val="3"/>
            <w:tcBorders/>
            <w:vAlign w:val="center"/>
          </w:tcPr>
          <w:p>
            <w:pPr>
              <w:pStyle w:val="TableContents"/>
              <w:bidi w:val="0"/>
              <w:spacing w:before="0" w:after="283"/>
              <w:jc w:val="center"/>
              <w:rPr/>
            </w:pPr>
            <w:r>
              <w:rPr>
                <w:rStyle w:val="StrongEmphasis"/>
              </w:rPr>
              <w:t>August 31,</w:t>
            </w:r>
          </w:p>
        </w:tc>
        <w:tc>
          <w:tcPr>
            <w:tcW w:w="162" w:type="dxa"/>
            <w:tcBorders/>
            <w:vAlign w:val="center"/>
          </w:tcPr>
          <w:p>
            <w:pPr>
              <w:pStyle w:val="TableContents"/>
              <w:bidi w:val="0"/>
              <w:spacing w:before="0" w:after="283"/>
              <w:jc w:val="center"/>
              <w:rPr/>
            </w:pPr>
            <w:r>
              <w:rPr/>
              <w:t> </w:t>
            </w:r>
          </w:p>
        </w:tc>
        <w:tc>
          <w:tcPr>
            <w:tcW w:w="1773" w:type="dxa"/>
            <w:gridSpan w:val="3"/>
            <w:tcBorders/>
            <w:vAlign w:val="center"/>
          </w:tcPr>
          <w:p>
            <w:pPr>
              <w:pStyle w:val="TableContents"/>
              <w:bidi w:val="0"/>
              <w:spacing w:before="0" w:after="283"/>
              <w:jc w:val="center"/>
              <w:rPr/>
            </w:pPr>
            <w:r>
              <w:rPr>
                <w:rStyle w:val="StrongEmphasis"/>
              </w:rPr>
              <w:t>Change</w:t>
            </w:r>
          </w:p>
        </w:tc>
        <w:tc>
          <w:tcPr>
            <w:tcW w:w="162" w:type="dxa"/>
            <w:tcBorders/>
            <w:vAlign w:val="center"/>
          </w:tcPr>
          <w:p>
            <w:pPr>
              <w:pStyle w:val="TableContents"/>
              <w:bidi w:val="0"/>
              <w:spacing w:before="0" w:after="283"/>
              <w:jc w:val="center"/>
              <w:rPr/>
            </w:pPr>
            <w:r>
              <w:rPr/>
              <w:t> </w:t>
            </w:r>
          </w:p>
        </w:tc>
        <w:tc>
          <w:tcPr>
            <w:tcW w:w="1397" w:type="dxa"/>
            <w:gridSpan w:val="2"/>
            <w:tcBorders/>
            <w:vAlign w:val="center"/>
          </w:tcPr>
          <w:p>
            <w:pPr>
              <w:pStyle w:val="TableContents"/>
              <w:bidi w:val="0"/>
              <w:spacing w:before="0" w:after="283"/>
              <w:jc w:val="center"/>
              <w:rPr/>
            </w:pPr>
            <w:r>
              <w:rPr>
                <w:rStyle w:val="StrongEmphasis"/>
              </w:rPr>
              <w:t>% Change</w:t>
            </w:r>
          </w:p>
        </w:tc>
      </w:tr>
      <w:tr>
        <w:trPr/>
        <w:tc>
          <w:tcPr>
            <w:tcW w:w="2712" w:type="dxa"/>
            <w:tcBorders/>
            <w:vAlign w:val="center"/>
          </w:tcPr>
          <w:p>
            <w:pPr>
              <w:pStyle w:val="TableContents"/>
              <w:bidi w:val="0"/>
              <w:spacing w:before="0" w:after="283"/>
              <w:jc w:val="left"/>
              <w:rPr/>
            </w:pPr>
            <w:r>
              <w:rPr>
                <w:rStyle w:val="StrongEmphasis"/>
              </w:rPr>
              <w:t>(in thousands of U.S. dollars, except for per share data)</w:t>
            </w:r>
          </w:p>
        </w:tc>
        <w:tc>
          <w:tcPr>
            <w:tcW w:w="191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63" w:type="dxa"/>
            <w:tcBorders/>
            <w:vAlign w:val="center"/>
          </w:tcPr>
          <w:p>
            <w:pPr>
              <w:pStyle w:val="TableContents"/>
              <w:bidi w:val="0"/>
              <w:spacing w:before="0" w:after="283"/>
              <w:jc w:val="center"/>
              <w:rPr/>
            </w:pPr>
            <w:r>
              <w:rPr/>
              <w:t> </w:t>
            </w:r>
          </w:p>
        </w:tc>
        <w:tc>
          <w:tcPr>
            <w:tcW w:w="191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62" w:type="dxa"/>
            <w:tcBorders/>
            <w:vAlign w:val="center"/>
          </w:tcPr>
          <w:p>
            <w:pPr>
              <w:pStyle w:val="TableContents"/>
              <w:bidi w:val="0"/>
              <w:spacing w:before="0" w:after="283"/>
              <w:jc w:val="center"/>
              <w:rPr/>
            </w:pPr>
            <w:r>
              <w:rPr/>
              <w:t> </w:t>
            </w:r>
          </w:p>
        </w:tc>
        <w:tc>
          <w:tcPr>
            <w:tcW w:w="3332"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 vs. 2025</w:t>
            </w:r>
          </w:p>
        </w:tc>
      </w:tr>
      <w:tr>
        <w:trPr/>
        <w:tc>
          <w:tcPr>
            <w:tcW w:w="2712" w:type="dxa"/>
            <w:tcBorders/>
            <w:vAlign w:val="center"/>
          </w:tcPr>
          <w:p>
            <w:pPr>
              <w:pStyle w:val="TableContents"/>
              <w:bidi w:val="0"/>
              <w:spacing w:before="0" w:after="283"/>
              <w:jc w:val="left"/>
              <w:rPr/>
            </w:pPr>
            <w:r>
              <w:rPr/>
              <w:t>Net revenue</w:t>
            </w:r>
          </w:p>
        </w:tc>
        <w:tc>
          <w:tcPr>
            <w:tcW w:w="253" w:type="dxa"/>
            <w:tcBorders/>
            <w:vAlign w:val="center"/>
          </w:tcPr>
          <w:p>
            <w:pPr>
              <w:pStyle w:val="TableContents"/>
              <w:bidi w:val="0"/>
              <w:spacing w:before="0" w:after="283"/>
              <w:jc w:val="right"/>
              <w:rPr/>
            </w:pPr>
            <w:r>
              <w:rPr/>
              <w:t>$</w:t>
            </w:r>
          </w:p>
        </w:tc>
        <w:tc>
          <w:tcPr>
            <w:tcW w:w="1463" w:type="dxa"/>
            <w:tcBorders/>
            <w:vAlign w:val="center"/>
          </w:tcPr>
          <w:p>
            <w:pPr>
              <w:pStyle w:val="TableContents"/>
              <w:bidi w:val="0"/>
              <w:spacing w:before="0" w:after="283"/>
              <w:jc w:val="right"/>
              <w:rPr/>
            </w:pPr>
            <w:r>
              <w:rPr/>
              <w:t>257,147</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w:t>
            </w:r>
          </w:p>
        </w:tc>
        <w:tc>
          <w:tcPr>
            <w:tcW w:w="1463" w:type="dxa"/>
            <w:tcBorders/>
            <w:vAlign w:val="center"/>
          </w:tcPr>
          <w:p>
            <w:pPr>
              <w:pStyle w:val="TableContents"/>
              <w:bidi w:val="0"/>
              <w:spacing w:before="0" w:after="283"/>
              <w:jc w:val="right"/>
              <w:rPr/>
            </w:pPr>
            <w:r>
              <w:rPr/>
              <w:t>209,501</w:t>
            </w:r>
          </w:p>
        </w:tc>
        <w:tc>
          <w:tcPr>
            <w:tcW w:w="20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w:t>
            </w:r>
          </w:p>
        </w:tc>
        <w:tc>
          <w:tcPr>
            <w:tcW w:w="1321" w:type="dxa"/>
            <w:tcBorders/>
            <w:vAlign w:val="center"/>
          </w:tcPr>
          <w:p>
            <w:pPr>
              <w:pStyle w:val="TableContents"/>
              <w:bidi w:val="0"/>
              <w:spacing w:before="0" w:after="283"/>
              <w:jc w:val="right"/>
              <w:rPr/>
            </w:pPr>
            <w:r>
              <w:rPr/>
              <w:t>47,646</w:t>
            </w:r>
          </w:p>
        </w:tc>
        <w:tc>
          <w:tcPr>
            <w:tcW w:w="20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23</w:t>
            </w:r>
          </w:p>
        </w:tc>
        <w:tc>
          <w:tcPr>
            <w:tcW w:w="466" w:type="dxa"/>
            <w:tcBorders/>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left"/>
              <w:rPr/>
            </w:pPr>
            <w:r>
              <w:rPr/>
              <w:t>Cost of goods sold</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179,638</w:t>
            </w:r>
          </w:p>
        </w:tc>
        <w:tc>
          <w:tcPr>
            <w:tcW w:w="20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152,032</w:t>
            </w:r>
          </w:p>
        </w:tc>
        <w:tc>
          <w:tcPr>
            <w:tcW w:w="20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27,606</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9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w:t>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left"/>
              <w:rPr/>
            </w:pPr>
            <w:r>
              <w:rPr/>
              <w:t>Gross profit</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77,509</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57,469</w:t>
            </w:r>
          </w:p>
        </w:tc>
        <w:tc>
          <w:tcPr>
            <w:tcW w:w="20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20,040</w:t>
            </w:r>
          </w:p>
        </w:tc>
        <w:tc>
          <w:tcPr>
            <w:tcW w:w="20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35</w:t>
            </w:r>
          </w:p>
        </w:tc>
        <w:tc>
          <w:tcPr>
            <w:tcW w:w="466" w:type="dxa"/>
            <w:tcBorders/>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left"/>
              <w:rPr/>
            </w:pPr>
            <w:r>
              <w:rPr/>
              <w:t>Operating expenses:</w:t>
            </w:r>
          </w:p>
        </w:tc>
        <w:tc>
          <w:tcPr>
            <w:tcW w:w="1918" w:type="dxa"/>
            <w:gridSpan w:val="3"/>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right"/>
              <w:rPr/>
            </w:pPr>
            <w:r>
              <w:rPr/>
              <w:t> </w:t>
            </w:r>
          </w:p>
        </w:tc>
        <w:tc>
          <w:tcPr>
            <w:tcW w:w="1918" w:type="dxa"/>
            <w:gridSpan w:val="3"/>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right"/>
              <w:rPr/>
            </w:pPr>
            <w:r>
              <w:rPr/>
              <w:t> </w:t>
            </w:r>
          </w:p>
        </w:tc>
        <w:tc>
          <w:tcPr>
            <w:tcW w:w="1773" w:type="dxa"/>
            <w:gridSpan w:val="3"/>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right"/>
              <w:rPr/>
            </w:pPr>
            <w:r>
              <w:rPr/>
              <w:t> </w:t>
            </w:r>
          </w:p>
        </w:tc>
        <w:tc>
          <w:tcPr>
            <w:tcW w:w="1397" w:type="dxa"/>
            <w:gridSpan w:val="2"/>
            <w:tcBorders/>
            <w:vAlign w:val="center"/>
          </w:tcPr>
          <w:p>
            <w:pPr>
              <w:pStyle w:val="TableContents"/>
              <w:bidi w:val="0"/>
              <w:spacing w:before="0" w:after="283"/>
              <w:jc w:val="right"/>
              <w:rPr/>
            </w:pPr>
            <w:r>
              <w:rPr/>
              <w:t> </w:t>
            </w:r>
          </w:p>
        </w:tc>
      </w:tr>
      <w:tr>
        <w:trPr/>
        <w:tc>
          <w:tcPr>
            <w:tcW w:w="2712" w:type="dxa"/>
            <w:tcBorders/>
            <w:tcMar>
              <w:top w:w="0" w:type="dxa"/>
              <w:left w:w="0" w:type="dxa"/>
              <w:bottom w:w="0" w:type="dxa"/>
              <w:right w:w="0" w:type="dxa"/>
            </w:tcMar>
            <w:vAlign w:val="center"/>
          </w:tcPr>
          <w:p>
            <w:pPr>
              <w:pStyle w:val="TableContents"/>
              <w:bidi w:val="0"/>
              <w:spacing w:before="0" w:after="283"/>
              <w:jc w:val="left"/>
              <w:rPr/>
            </w:pPr>
            <w:r>
              <w:rPr/>
              <w:t>General and administrative</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57,608</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41,053</w:t>
            </w:r>
          </w:p>
        </w:tc>
        <w:tc>
          <w:tcPr>
            <w:tcW w:w="20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16,555</w:t>
            </w:r>
          </w:p>
        </w:tc>
        <w:tc>
          <w:tcPr>
            <w:tcW w:w="20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40</w:t>
            </w:r>
          </w:p>
        </w:tc>
        <w:tc>
          <w:tcPr>
            <w:tcW w:w="466" w:type="dxa"/>
            <w:tcBorders/>
            <w:vAlign w:val="center"/>
          </w:tcPr>
          <w:p>
            <w:pPr>
              <w:pStyle w:val="TableContents"/>
              <w:bidi w:val="0"/>
              <w:spacing w:before="0" w:after="283"/>
              <w:jc w:val="left"/>
              <w:rPr/>
            </w:pPr>
            <w:r>
              <w:rPr/>
              <w:t>%</w:t>
            </w:r>
          </w:p>
        </w:tc>
      </w:tr>
      <w:tr>
        <w:trPr/>
        <w:tc>
          <w:tcPr>
            <w:tcW w:w="2712" w:type="dxa"/>
            <w:tcBorders/>
            <w:tcMar>
              <w:top w:w="0" w:type="dxa"/>
              <w:left w:w="0" w:type="dxa"/>
              <w:bottom w:w="0" w:type="dxa"/>
              <w:right w:w="0" w:type="dxa"/>
            </w:tcMar>
            <w:vAlign w:val="center"/>
          </w:tcPr>
          <w:p>
            <w:pPr>
              <w:pStyle w:val="TableContents"/>
              <w:bidi w:val="0"/>
              <w:spacing w:before="0" w:after="283"/>
              <w:jc w:val="left"/>
              <w:rPr/>
            </w:pPr>
            <w:r>
              <w:rPr/>
              <w:t>Selling</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13,593</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12,923</w:t>
            </w:r>
          </w:p>
        </w:tc>
        <w:tc>
          <w:tcPr>
            <w:tcW w:w="20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670</w:t>
            </w:r>
          </w:p>
        </w:tc>
        <w:tc>
          <w:tcPr>
            <w:tcW w:w="20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5</w:t>
            </w:r>
          </w:p>
        </w:tc>
        <w:tc>
          <w:tcPr>
            <w:tcW w:w="466" w:type="dxa"/>
            <w:tcBorders/>
            <w:vAlign w:val="center"/>
          </w:tcPr>
          <w:p>
            <w:pPr>
              <w:pStyle w:val="TableContents"/>
              <w:bidi w:val="0"/>
              <w:spacing w:before="0" w:after="283"/>
              <w:jc w:val="left"/>
              <w:rPr/>
            </w:pPr>
            <w:r>
              <w:rPr/>
              <w:t>%</w:t>
            </w:r>
          </w:p>
        </w:tc>
      </w:tr>
      <w:tr>
        <w:trPr/>
        <w:tc>
          <w:tcPr>
            <w:tcW w:w="2712"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6,500</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3,929</w:t>
            </w:r>
          </w:p>
        </w:tc>
        <w:tc>
          <w:tcPr>
            <w:tcW w:w="20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2,571</w:t>
            </w:r>
          </w:p>
        </w:tc>
        <w:tc>
          <w:tcPr>
            <w:tcW w:w="20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65</w:t>
            </w:r>
          </w:p>
        </w:tc>
        <w:tc>
          <w:tcPr>
            <w:tcW w:w="466" w:type="dxa"/>
            <w:tcBorders/>
            <w:vAlign w:val="center"/>
          </w:tcPr>
          <w:p>
            <w:pPr>
              <w:pStyle w:val="TableContents"/>
              <w:bidi w:val="0"/>
              <w:spacing w:before="0" w:after="283"/>
              <w:jc w:val="left"/>
              <w:rPr/>
            </w:pPr>
            <w:r>
              <w:rPr/>
              <w:t>%</w:t>
            </w:r>
          </w:p>
        </w:tc>
      </w:tr>
      <w:tr>
        <w:trPr/>
        <w:tc>
          <w:tcPr>
            <w:tcW w:w="2712" w:type="dxa"/>
            <w:tcBorders/>
            <w:tcMar>
              <w:top w:w="0" w:type="dxa"/>
              <w:left w:w="0" w:type="dxa"/>
              <w:bottom w:w="0" w:type="dxa"/>
              <w:right w:w="0" w:type="dxa"/>
            </w:tcMar>
            <w:vAlign w:val="center"/>
          </w:tcPr>
          <w:p>
            <w:pPr>
              <w:pStyle w:val="TableContents"/>
              <w:bidi w:val="0"/>
              <w:spacing w:before="0" w:after="283"/>
              <w:jc w:val="left"/>
              <w:rPr/>
            </w:pPr>
            <w:r>
              <w:rPr/>
              <w:t>Marketing and promotion</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15,736</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10,155</w:t>
            </w:r>
          </w:p>
        </w:tc>
        <w:tc>
          <w:tcPr>
            <w:tcW w:w="20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5,581</w:t>
            </w:r>
          </w:p>
        </w:tc>
        <w:tc>
          <w:tcPr>
            <w:tcW w:w="20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55</w:t>
            </w:r>
          </w:p>
        </w:tc>
        <w:tc>
          <w:tcPr>
            <w:tcW w:w="466" w:type="dxa"/>
            <w:tcBorders/>
            <w:vAlign w:val="center"/>
          </w:tcPr>
          <w:p>
            <w:pPr>
              <w:pStyle w:val="TableContents"/>
              <w:bidi w:val="0"/>
              <w:spacing w:before="0" w:after="283"/>
              <w:jc w:val="left"/>
              <w:rPr/>
            </w:pPr>
            <w:r>
              <w:rPr/>
              <w:t>%</w:t>
            </w:r>
          </w:p>
        </w:tc>
      </w:tr>
      <w:tr>
        <w:trPr/>
        <w:tc>
          <w:tcPr>
            <w:tcW w:w="2712" w:type="dxa"/>
            <w:tcBorders/>
            <w:tcMar>
              <w:top w:w="0" w:type="dxa"/>
              <w:left w:w="0" w:type="dxa"/>
              <w:bottom w:w="0" w:type="dxa"/>
              <w:right w:w="0" w:type="dxa"/>
            </w:tcMar>
            <w:vAlign w:val="center"/>
          </w:tcPr>
          <w:p>
            <w:pPr>
              <w:pStyle w:val="TableContents"/>
              <w:bidi w:val="0"/>
              <w:spacing w:before="0" w:after="283"/>
              <w:jc w:val="left"/>
              <w:rPr/>
            </w:pPr>
            <w:r>
              <w:rPr/>
              <w:t>Research and development</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89</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41</w:t>
            </w:r>
          </w:p>
        </w:tc>
        <w:tc>
          <w:tcPr>
            <w:tcW w:w="20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48</w:t>
            </w:r>
          </w:p>
        </w:tc>
        <w:tc>
          <w:tcPr>
            <w:tcW w:w="20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117</w:t>
            </w:r>
          </w:p>
        </w:tc>
        <w:tc>
          <w:tcPr>
            <w:tcW w:w="466" w:type="dxa"/>
            <w:tcBorders/>
            <w:vAlign w:val="center"/>
          </w:tcPr>
          <w:p>
            <w:pPr>
              <w:pStyle w:val="TableContents"/>
              <w:bidi w:val="0"/>
              <w:spacing w:before="0" w:after="283"/>
              <w:jc w:val="left"/>
              <w:rPr/>
            </w:pPr>
            <w:r>
              <w:rPr/>
              <w:t>%</w:t>
            </w:r>
          </w:p>
        </w:tc>
      </w:tr>
      <w:tr>
        <w:trPr/>
        <w:tc>
          <w:tcPr>
            <w:tcW w:w="2712" w:type="dxa"/>
            <w:tcBorders/>
            <w:tcMar>
              <w:top w:w="0" w:type="dxa"/>
              <w:left w:w="0" w:type="dxa"/>
              <w:bottom w:w="0" w:type="dxa"/>
              <w:right w:w="0" w:type="dxa"/>
            </w:tcMar>
            <w:vAlign w:val="center"/>
          </w:tcPr>
          <w:p>
            <w:pPr>
              <w:pStyle w:val="TableContents"/>
              <w:bidi w:val="0"/>
              <w:spacing w:before="0" w:after="283"/>
              <w:jc w:val="left"/>
              <w:rPr/>
            </w:pPr>
            <w:r>
              <w:rPr/>
              <w:t>Change in fair value of contingent consideration</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(15,000</w:t>
            </w:r>
          </w:p>
        </w:tc>
        <w:tc>
          <w:tcPr>
            <w:tcW w:w="202" w:type="dxa"/>
            <w:tcBorders/>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15,000</w:t>
            </w:r>
          </w:p>
        </w:tc>
        <w:tc>
          <w:tcPr>
            <w:tcW w:w="20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(100</w:t>
            </w:r>
          </w:p>
        </w:tc>
        <w:tc>
          <w:tcPr>
            <w:tcW w:w="466" w:type="dxa"/>
            <w:tcBorders/>
            <w:vAlign w:val="center"/>
          </w:tcPr>
          <w:p>
            <w:pPr>
              <w:pStyle w:val="TableContents"/>
              <w:bidi w:val="0"/>
              <w:spacing w:before="0" w:after="283"/>
              <w:jc w:val="left"/>
              <w:rPr/>
            </w:pPr>
            <w:r>
              <w:rPr/>
              <w:t>)%</w:t>
            </w:r>
          </w:p>
        </w:tc>
      </w:tr>
      <w:tr>
        <w:trPr/>
        <w:tc>
          <w:tcPr>
            <w:tcW w:w="2712" w:type="dxa"/>
            <w:tcBorders/>
            <w:tcMar>
              <w:top w:w="0" w:type="dxa"/>
              <w:left w:w="0" w:type="dxa"/>
              <w:bottom w:w="0" w:type="dxa"/>
              <w:right w:w="0" w:type="dxa"/>
            </w:tcMar>
            <w:vAlign w:val="center"/>
          </w:tcPr>
          <w:p>
            <w:pPr>
              <w:pStyle w:val="TableContents"/>
              <w:bidi w:val="0"/>
              <w:spacing w:before="0" w:after="283"/>
              <w:jc w:val="left"/>
              <w:rPr/>
            </w:pPr>
            <w:r>
              <w:rPr/>
              <w:t>Litigation costs, net of recoveries</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787</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1,007</w:t>
            </w:r>
          </w:p>
        </w:tc>
        <w:tc>
          <w:tcPr>
            <w:tcW w:w="20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(220</w:t>
            </w:r>
          </w:p>
        </w:tc>
        <w:tc>
          <w:tcPr>
            <w:tcW w:w="201" w:type="dxa"/>
            <w:tcBorders/>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(22</w:t>
            </w:r>
          </w:p>
        </w:tc>
        <w:tc>
          <w:tcPr>
            <w:tcW w:w="466" w:type="dxa"/>
            <w:tcBorders/>
            <w:vAlign w:val="center"/>
          </w:tcPr>
          <w:p>
            <w:pPr>
              <w:pStyle w:val="TableContents"/>
              <w:bidi w:val="0"/>
              <w:spacing w:before="0" w:after="283"/>
              <w:jc w:val="left"/>
              <w:rPr/>
            </w:pPr>
            <w:r>
              <w:rPr/>
              <w:t>)%</w:t>
            </w:r>
          </w:p>
        </w:tc>
      </w:tr>
      <w:tr>
        <w:trPr/>
        <w:tc>
          <w:tcPr>
            <w:tcW w:w="2712" w:type="dxa"/>
            <w:tcBorders/>
            <w:tcMar>
              <w:top w:w="0" w:type="dxa"/>
              <w:left w:w="0" w:type="dxa"/>
              <w:bottom w:w="0" w:type="dxa"/>
              <w:right w:w="0" w:type="dxa"/>
            </w:tcMar>
            <w:vAlign w:val="center"/>
          </w:tcPr>
          <w:p>
            <w:pPr>
              <w:pStyle w:val="TableContents"/>
              <w:bidi w:val="0"/>
              <w:spacing w:before="0" w:after="283"/>
              <w:jc w:val="left"/>
              <w:rPr/>
            </w:pPr>
            <w:r>
              <w:rPr/>
              <w:t>Restructuring costs</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2,447</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869</w:t>
            </w:r>
          </w:p>
        </w:tc>
        <w:tc>
          <w:tcPr>
            <w:tcW w:w="20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1,578</w:t>
            </w:r>
          </w:p>
        </w:tc>
        <w:tc>
          <w:tcPr>
            <w:tcW w:w="20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182</w:t>
            </w:r>
          </w:p>
        </w:tc>
        <w:tc>
          <w:tcPr>
            <w:tcW w:w="466" w:type="dxa"/>
            <w:tcBorders/>
            <w:vAlign w:val="center"/>
          </w:tcPr>
          <w:p>
            <w:pPr>
              <w:pStyle w:val="TableContents"/>
              <w:bidi w:val="0"/>
              <w:spacing w:before="0" w:after="283"/>
              <w:jc w:val="left"/>
              <w:rPr/>
            </w:pPr>
            <w:r>
              <w:rPr/>
              <w:t>%</w:t>
            </w:r>
          </w:p>
        </w:tc>
      </w:tr>
      <w:tr>
        <w:trPr/>
        <w:tc>
          <w:tcPr>
            <w:tcW w:w="2712" w:type="dxa"/>
            <w:tcBorders/>
            <w:tcMar>
              <w:top w:w="0" w:type="dxa"/>
              <w:left w:w="0" w:type="dxa"/>
              <w:bottom w:w="0" w:type="dxa"/>
              <w:right w:w="0" w:type="dxa"/>
            </w:tcMar>
            <w:vAlign w:val="center"/>
          </w:tcPr>
          <w:p>
            <w:pPr>
              <w:pStyle w:val="TableContents"/>
              <w:bidi w:val="0"/>
              <w:spacing w:before="0" w:after="283"/>
              <w:jc w:val="left"/>
              <w:rPr/>
            </w:pPr>
            <w:r>
              <w:rPr/>
              <w:t>Transaction costs, net</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4,802</w:t>
            </w:r>
          </w:p>
        </w:tc>
        <w:tc>
          <w:tcPr>
            <w:tcW w:w="20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400</w:t>
            </w:r>
          </w:p>
        </w:tc>
        <w:tc>
          <w:tcPr>
            <w:tcW w:w="20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4,402</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9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1101</w:t>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left"/>
              <w:rPr/>
            </w:pPr>
            <w:r>
              <w:rPr/>
              <w:t>Total operating expenses</w:t>
            </w:r>
          </w:p>
        </w:tc>
        <w:tc>
          <w:tcPr>
            <w:tcW w:w="2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4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101,562</w:t>
            </w:r>
          </w:p>
        </w:tc>
        <w:tc>
          <w:tcPr>
            <w:tcW w:w="20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4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55,377</w:t>
            </w:r>
          </w:p>
        </w:tc>
        <w:tc>
          <w:tcPr>
            <w:tcW w:w="20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2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46,185</w:t>
            </w:r>
          </w:p>
        </w:tc>
        <w:tc>
          <w:tcPr>
            <w:tcW w:w="2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83</w:t>
            </w:r>
          </w:p>
        </w:tc>
        <w:tc>
          <w:tcPr>
            <w:tcW w:w="4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left"/>
              <w:rPr/>
            </w:pPr>
            <w:r>
              <w:rPr/>
              <w:t>Operating income (loss)</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(24,053</w:t>
            </w:r>
          </w:p>
        </w:tc>
        <w:tc>
          <w:tcPr>
            <w:tcW w:w="202"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2,092</w:t>
            </w:r>
          </w:p>
        </w:tc>
        <w:tc>
          <w:tcPr>
            <w:tcW w:w="20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(26,145</w:t>
            </w:r>
          </w:p>
        </w:tc>
        <w:tc>
          <w:tcPr>
            <w:tcW w:w="201" w:type="dxa"/>
            <w:tcBorders/>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(1250</w:t>
            </w:r>
          </w:p>
        </w:tc>
        <w:tc>
          <w:tcPr>
            <w:tcW w:w="466" w:type="dxa"/>
            <w:tcBorders/>
            <w:vAlign w:val="center"/>
          </w:tcPr>
          <w:p>
            <w:pPr>
              <w:pStyle w:val="TableContents"/>
              <w:bidi w:val="0"/>
              <w:spacing w:before="0" w:after="283"/>
              <w:jc w:val="left"/>
              <w:rPr/>
            </w:pPr>
            <w:r>
              <w:rPr/>
              <w:t>)%</w:t>
            </w:r>
          </w:p>
        </w:tc>
      </w:tr>
      <w:tr>
        <w:trPr/>
        <w:tc>
          <w:tcPr>
            <w:tcW w:w="2712" w:type="dxa"/>
            <w:tcBorders/>
            <w:tcMar>
              <w:top w:w="0" w:type="dxa"/>
              <w:left w:w="0" w:type="dxa"/>
              <w:bottom w:w="0" w:type="dxa"/>
              <w:right w:w="0" w:type="dxa"/>
            </w:tcMar>
            <w:vAlign w:val="center"/>
          </w:tcPr>
          <w:p>
            <w:pPr>
              <w:pStyle w:val="TableContents"/>
              <w:bidi w:val="0"/>
              <w:spacing w:before="0" w:after="283"/>
              <w:jc w:val="left"/>
              <w:rPr/>
            </w:pPr>
            <w:r>
              <w:rPr/>
              <w:t>Interest expense, net</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(6,480</w:t>
            </w:r>
          </w:p>
        </w:tc>
        <w:tc>
          <w:tcPr>
            <w:tcW w:w="202"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(6,696</w:t>
            </w:r>
          </w:p>
        </w:tc>
        <w:tc>
          <w:tcPr>
            <w:tcW w:w="202" w:type="dxa"/>
            <w:tcBorders/>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216</w:t>
            </w:r>
          </w:p>
        </w:tc>
        <w:tc>
          <w:tcPr>
            <w:tcW w:w="20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(3</w:t>
            </w:r>
          </w:p>
        </w:tc>
        <w:tc>
          <w:tcPr>
            <w:tcW w:w="466" w:type="dxa"/>
            <w:tcBorders/>
            <w:vAlign w:val="center"/>
          </w:tcPr>
          <w:p>
            <w:pPr>
              <w:pStyle w:val="TableContents"/>
              <w:bidi w:val="0"/>
              <w:spacing w:before="0" w:after="283"/>
              <w:jc w:val="left"/>
              <w:rPr/>
            </w:pPr>
            <w:r>
              <w:rPr/>
              <w:t>)%</w:t>
            </w:r>
          </w:p>
        </w:tc>
      </w:tr>
      <w:tr>
        <w:trPr/>
        <w:tc>
          <w:tcPr>
            <w:tcW w:w="2712" w:type="dxa"/>
            <w:tcBorders/>
            <w:tcMar>
              <w:top w:w="0" w:type="dxa"/>
              <w:left w:w="0" w:type="dxa"/>
              <w:bottom w:w="0" w:type="dxa"/>
              <w:right w:w="0" w:type="dxa"/>
            </w:tcMar>
            <w:vAlign w:val="center"/>
          </w:tcPr>
          <w:p>
            <w:pPr>
              <w:pStyle w:val="TableContents"/>
              <w:bidi w:val="0"/>
              <w:spacing w:before="0" w:after="283"/>
              <w:jc w:val="left"/>
              <w:rPr/>
            </w:pPr>
            <w:r>
              <w:rPr/>
              <w:t>Non-operating income (expense), net</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(7,773</w:t>
            </w:r>
          </w:p>
        </w:tc>
        <w:tc>
          <w:tcPr>
            <w:tcW w:w="20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right"/>
              <w:rPr/>
            </w:pPr>
            <w:r>
              <w:rPr/>
              <w:t> </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3,832</w:t>
            </w:r>
          </w:p>
        </w:tc>
        <w:tc>
          <w:tcPr>
            <w:tcW w:w="20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(11,605</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right"/>
              <w:rPr/>
            </w:pPr>
            <w:r>
              <w:rPr/>
              <w:t> </w:t>
            </w:r>
          </w:p>
        </w:tc>
        <w:tc>
          <w:tcPr>
            <w:tcW w:w="9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(303</w:t>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left"/>
              <w:rPr/>
            </w:pPr>
            <w:r>
              <w:rPr/>
              <w:t>(Loss) before income taxes</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(38,306</w:t>
            </w:r>
          </w:p>
        </w:tc>
        <w:tc>
          <w:tcPr>
            <w:tcW w:w="202"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(772</w:t>
            </w:r>
          </w:p>
        </w:tc>
        <w:tc>
          <w:tcPr>
            <w:tcW w:w="202" w:type="dxa"/>
            <w:tcBorders/>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(37,534</w:t>
            </w:r>
          </w:p>
        </w:tc>
        <w:tc>
          <w:tcPr>
            <w:tcW w:w="201" w:type="dxa"/>
            <w:tcBorders/>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4862</w:t>
            </w:r>
          </w:p>
        </w:tc>
        <w:tc>
          <w:tcPr>
            <w:tcW w:w="466" w:type="dxa"/>
            <w:tcBorders/>
            <w:vAlign w:val="center"/>
          </w:tcPr>
          <w:p>
            <w:pPr>
              <w:pStyle w:val="TableContents"/>
              <w:bidi w:val="0"/>
              <w:spacing w:before="0" w:after="283"/>
              <w:jc w:val="left"/>
              <w:rPr/>
            </w:pPr>
            <w:r>
              <w:rPr/>
              <w:t>%</w:t>
            </w:r>
          </w:p>
        </w:tc>
      </w:tr>
      <w:tr>
        <w:trPr/>
        <w:tc>
          <w:tcPr>
            <w:tcW w:w="2712" w:type="dxa"/>
            <w:tcBorders/>
            <w:tcMar>
              <w:top w:w="0" w:type="dxa"/>
              <w:left w:w="0" w:type="dxa"/>
              <w:bottom w:w="0" w:type="dxa"/>
              <w:right w:w="0" w:type="dxa"/>
            </w:tcMar>
            <w:vAlign w:val="center"/>
          </w:tcPr>
          <w:p>
            <w:pPr>
              <w:pStyle w:val="TableContents"/>
              <w:bidi w:val="0"/>
              <w:spacing w:before="0" w:after="283"/>
              <w:jc w:val="left"/>
              <w:rPr/>
            </w:pPr>
            <w:r>
              <w:rPr/>
              <w:t>Income tax expense (recovery), net</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1,725</w:t>
            </w:r>
          </w:p>
        </w:tc>
        <w:tc>
          <w:tcPr>
            <w:tcW w:w="20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(2,285</w:t>
            </w:r>
          </w:p>
        </w:tc>
        <w:tc>
          <w:tcPr>
            <w:tcW w:w="20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right"/>
              <w:rPr/>
            </w:pPr>
            <w:r>
              <w:rPr/>
              <w:t> </w:t>
            </w:r>
          </w:p>
        </w:tc>
        <w:tc>
          <w:tcPr>
            <w:tcW w:w="25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4,010</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9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(175</w:t>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left"/>
              <w:rPr/>
            </w:pPr>
            <w:r>
              <w:rPr/>
              <w:t>Net income (loss)</w:t>
            </w:r>
          </w:p>
        </w:tc>
        <w:tc>
          <w:tcPr>
            <w:tcW w:w="2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46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(40,031</w:t>
            </w:r>
          </w:p>
        </w:tc>
        <w:tc>
          <w:tcPr>
            <w:tcW w:w="2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right"/>
              <w:rPr/>
            </w:pPr>
            <w:r>
              <w:rPr/>
              <w:t> </w:t>
            </w:r>
          </w:p>
        </w:tc>
        <w:tc>
          <w:tcPr>
            <w:tcW w:w="2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46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1,513</w:t>
            </w:r>
          </w:p>
        </w:tc>
        <w:tc>
          <w:tcPr>
            <w:tcW w:w="2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2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(41,544</w:t>
            </w:r>
          </w:p>
        </w:tc>
        <w:tc>
          <w:tcPr>
            <w:tcW w:w="2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left"/>
              <w:rPr/>
            </w:pPr>
            <w:r>
              <w:rPr/>
              <w:t> </w:t>
            </w:r>
          </w:p>
        </w:tc>
        <w:tc>
          <w:tcPr>
            <w:tcW w:w="9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(2746</w:t>
            </w:r>
          </w:p>
        </w:tc>
        <w:tc>
          <w:tcPr>
            <w:tcW w:w="4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left"/>
              <w:rPr/>
            </w:pPr>
            <w:r>
              <w:rPr/>
              <w:t>Total net income (loss) attributable to:</w:t>
            </w:r>
          </w:p>
        </w:tc>
        <w:tc>
          <w:tcPr>
            <w:tcW w:w="1918" w:type="dxa"/>
            <w:gridSpan w:val="3"/>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right"/>
              <w:rPr/>
            </w:pPr>
            <w:r>
              <w:rPr/>
              <w:t> </w:t>
            </w:r>
          </w:p>
        </w:tc>
        <w:tc>
          <w:tcPr>
            <w:tcW w:w="1918" w:type="dxa"/>
            <w:gridSpan w:val="3"/>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right"/>
              <w:rPr/>
            </w:pPr>
            <w:r>
              <w:rPr/>
              <w:t> </w:t>
            </w:r>
          </w:p>
        </w:tc>
        <w:tc>
          <w:tcPr>
            <w:tcW w:w="1773" w:type="dxa"/>
            <w:gridSpan w:val="3"/>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right"/>
              <w:rPr/>
            </w:pPr>
            <w:r>
              <w:rPr/>
              <w:t> </w:t>
            </w:r>
          </w:p>
        </w:tc>
        <w:tc>
          <w:tcPr>
            <w:tcW w:w="1397" w:type="dxa"/>
            <w:gridSpan w:val="2"/>
            <w:tcBorders/>
            <w:vAlign w:val="center"/>
          </w:tcPr>
          <w:p>
            <w:pPr>
              <w:pStyle w:val="TableContents"/>
              <w:bidi w:val="0"/>
              <w:spacing w:before="0" w:after="283"/>
              <w:jc w:val="right"/>
              <w:rPr/>
            </w:pPr>
            <w:r>
              <w:rPr/>
              <w:t> </w:t>
            </w:r>
          </w:p>
        </w:tc>
      </w:tr>
      <w:tr>
        <w:trPr/>
        <w:tc>
          <w:tcPr>
            <w:tcW w:w="2712" w:type="dxa"/>
            <w:tcBorders/>
            <w:tcMar>
              <w:top w:w="0" w:type="dxa"/>
              <w:left w:w="0" w:type="dxa"/>
              <w:bottom w:w="0" w:type="dxa"/>
              <w:right w:w="0" w:type="dxa"/>
            </w:tcMar>
            <w:vAlign w:val="center"/>
          </w:tcPr>
          <w:p>
            <w:pPr>
              <w:pStyle w:val="TableContents"/>
              <w:bidi w:val="0"/>
              <w:spacing w:before="0" w:after="283"/>
              <w:jc w:val="left"/>
              <w:rPr/>
            </w:pPr>
            <w:r>
              <w:rPr/>
              <w:t>Stockholders of Tilray Brands, Inc.</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(43,141</w:t>
            </w:r>
          </w:p>
        </w:tc>
        <w:tc>
          <w:tcPr>
            <w:tcW w:w="202"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(322</w:t>
            </w:r>
          </w:p>
        </w:tc>
        <w:tc>
          <w:tcPr>
            <w:tcW w:w="202" w:type="dxa"/>
            <w:tcBorders/>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(42,819</w:t>
            </w:r>
          </w:p>
        </w:tc>
        <w:tc>
          <w:tcPr>
            <w:tcW w:w="201" w:type="dxa"/>
            <w:tcBorders/>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13298</w:t>
            </w:r>
          </w:p>
        </w:tc>
        <w:tc>
          <w:tcPr>
            <w:tcW w:w="466" w:type="dxa"/>
            <w:tcBorders/>
            <w:vAlign w:val="center"/>
          </w:tcPr>
          <w:p>
            <w:pPr>
              <w:pStyle w:val="TableContents"/>
              <w:bidi w:val="0"/>
              <w:spacing w:before="0" w:after="283"/>
              <w:jc w:val="left"/>
              <w:rPr/>
            </w:pPr>
            <w:r>
              <w:rPr/>
              <w:t>%</w:t>
            </w:r>
          </w:p>
        </w:tc>
      </w:tr>
      <w:tr>
        <w:trPr/>
        <w:tc>
          <w:tcPr>
            <w:tcW w:w="2712" w:type="dxa"/>
            <w:tcBorders/>
            <w:tcMar>
              <w:top w:w="0" w:type="dxa"/>
              <w:left w:w="0" w:type="dxa"/>
              <w:bottom w:w="0" w:type="dxa"/>
              <w:right w:w="0" w:type="dxa"/>
            </w:tcMar>
            <w:vAlign w:val="center"/>
          </w:tcPr>
          <w:p>
            <w:pPr>
              <w:pStyle w:val="TableContents"/>
              <w:bidi w:val="0"/>
              <w:spacing w:before="0" w:after="283"/>
              <w:jc w:val="left"/>
              <w:rPr/>
            </w:pPr>
            <w:r>
              <w:rPr/>
              <w:t>Non-controlling interests</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3,110</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1,835</w:t>
            </w:r>
          </w:p>
        </w:tc>
        <w:tc>
          <w:tcPr>
            <w:tcW w:w="20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1,275</w:t>
            </w:r>
          </w:p>
        </w:tc>
        <w:tc>
          <w:tcPr>
            <w:tcW w:w="20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69</w:t>
            </w:r>
          </w:p>
        </w:tc>
        <w:tc>
          <w:tcPr>
            <w:tcW w:w="466" w:type="dxa"/>
            <w:tcBorders/>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left"/>
              <w:rPr/>
            </w:pPr>
            <w:r>
              <w:rPr/>
              <w:t>Other comprehensive gain (loss), net of tax</w:t>
            </w:r>
          </w:p>
        </w:tc>
        <w:tc>
          <w:tcPr>
            <w:tcW w:w="1918" w:type="dxa"/>
            <w:gridSpan w:val="3"/>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right"/>
              <w:rPr/>
            </w:pPr>
            <w:r>
              <w:rPr/>
              <w:t> </w:t>
            </w:r>
          </w:p>
        </w:tc>
        <w:tc>
          <w:tcPr>
            <w:tcW w:w="1918" w:type="dxa"/>
            <w:gridSpan w:val="3"/>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right"/>
              <w:rPr/>
            </w:pPr>
            <w:r>
              <w:rPr/>
              <w:t> </w:t>
            </w:r>
          </w:p>
        </w:tc>
        <w:tc>
          <w:tcPr>
            <w:tcW w:w="1773" w:type="dxa"/>
            <w:gridSpan w:val="3"/>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right"/>
              <w:rPr/>
            </w:pPr>
            <w:r>
              <w:rPr/>
              <w:t> </w:t>
            </w:r>
          </w:p>
        </w:tc>
        <w:tc>
          <w:tcPr>
            <w:tcW w:w="1397" w:type="dxa"/>
            <w:gridSpan w:val="2"/>
            <w:tcBorders/>
            <w:vAlign w:val="center"/>
          </w:tcPr>
          <w:p>
            <w:pPr>
              <w:pStyle w:val="TableContents"/>
              <w:bidi w:val="0"/>
              <w:spacing w:before="0" w:after="283"/>
              <w:jc w:val="right"/>
              <w:rPr/>
            </w:pPr>
            <w:r>
              <w:rPr/>
              <w:t> </w:t>
            </w:r>
          </w:p>
        </w:tc>
      </w:tr>
      <w:tr>
        <w:trPr/>
        <w:tc>
          <w:tcPr>
            <w:tcW w:w="2712" w:type="dxa"/>
            <w:tcBorders/>
            <w:tcMar>
              <w:top w:w="0" w:type="dxa"/>
              <w:left w:w="0" w:type="dxa"/>
              <w:bottom w:w="0" w:type="dxa"/>
              <w:right w:w="0" w:type="dxa"/>
            </w:tcMar>
            <w:vAlign w:val="center"/>
          </w:tcPr>
          <w:p>
            <w:pPr>
              <w:pStyle w:val="TableContents"/>
              <w:bidi w:val="0"/>
              <w:spacing w:before="0" w:after="283"/>
              <w:jc w:val="left"/>
              <w:rPr/>
            </w:pPr>
            <w:r>
              <w:rPr/>
              <w:t>Foreign currency translation gain (loss)</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4,412</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(188</w:t>
            </w:r>
          </w:p>
        </w:tc>
        <w:tc>
          <w:tcPr>
            <w:tcW w:w="202" w:type="dxa"/>
            <w:tcBorders/>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4,600</w:t>
            </w:r>
          </w:p>
        </w:tc>
        <w:tc>
          <w:tcPr>
            <w:tcW w:w="20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(2447</w:t>
            </w:r>
          </w:p>
        </w:tc>
        <w:tc>
          <w:tcPr>
            <w:tcW w:w="466" w:type="dxa"/>
            <w:tcBorders/>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left"/>
              <w:rPr/>
            </w:pPr>
            <w:r>
              <w:rPr/>
              <w:t>Comprehensive income (loss)</w:t>
            </w:r>
          </w:p>
        </w:tc>
        <w:tc>
          <w:tcPr>
            <w:tcW w:w="2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46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(35,619</w:t>
            </w:r>
          </w:p>
        </w:tc>
        <w:tc>
          <w:tcPr>
            <w:tcW w:w="2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right"/>
              <w:rPr/>
            </w:pPr>
            <w:r>
              <w:rPr/>
              <w:t> </w:t>
            </w:r>
          </w:p>
        </w:tc>
        <w:tc>
          <w:tcPr>
            <w:tcW w:w="2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46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1,325</w:t>
            </w:r>
          </w:p>
        </w:tc>
        <w:tc>
          <w:tcPr>
            <w:tcW w:w="2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2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(36,944</w:t>
            </w:r>
          </w:p>
        </w:tc>
        <w:tc>
          <w:tcPr>
            <w:tcW w:w="2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right"/>
              <w:rPr/>
            </w:pPr>
            <w:r>
              <w:rPr/>
              <w:t> </w:t>
            </w:r>
          </w:p>
        </w:tc>
        <w:tc>
          <w:tcPr>
            <w:tcW w:w="9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(2788</w:t>
            </w:r>
          </w:p>
        </w:tc>
        <w:tc>
          <w:tcPr>
            <w:tcW w:w="4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left"/>
              <w:rPr/>
            </w:pPr>
            <w:r>
              <w:rPr/>
              <w:t>Total comprehensive income (loss) attributable to:</w:t>
            </w:r>
          </w:p>
        </w:tc>
        <w:tc>
          <w:tcPr>
            <w:tcW w:w="1918" w:type="dxa"/>
            <w:gridSpan w:val="3"/>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right"/>
              <w:rPr/>
            </w:pPr>
            <w:r>
              <w:rPr/>
              <w:t> </w:t>
            </w:r>
          </w:p>
        </w:tc>
        <w:tc>
          <w:tcPr>
            <w:tcW w:w="1918" w:type="dxa"/>
            <w:gridSpan w:val="3"/>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right"/>
              <w:rPr/>
            </w:pPr>
            <w:r>
              <w:rPr/>
              <w:t> </w:t>
            </w:r>
          </w:p>
        </w:tc>
        <w:tc>
          <w:tcPr>
            <w:tcW w:w="1773" w:type="dxa"/>
            <w:gridSpan w:val="3"/>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right"/>
              <w:rPr/>
            </w:pPr>
            <w:r>
              <w:rPr/>
              <w:t> </w:t>
            </w:r>
          </w:p>
        </w:tc>
        <w:tc>
          <w:tcPr>
            <w:tcW w:w="1397" w:type="dxa"/>
            <w:gridSpan w:val="2"/>
            <w:tcBorders/>
            <w:vAlign w:val="center"/>
          </w:tcPr>
          <w:p>
            <w:pPr>
              <w:pStyle w:val="TableContents"/>
              <w:bidi w:val="0"/>
              <w:spacing w:before="0" w:after="283"/>
              <w:jc w:val="right"/>
              <w:rPr/>
            </w:pPr>
            <w:r>
              <w:rPr/>
              <w:t> </w:t>
            </w:r>
          </w:p>
        </w:tc>
      </w:tr>
      <w:tr>
        <w:trPr/>
        <w:tc>
          <w:tcPr>
            <w:tcW w:w="2712" w:type="dxa"/>
            <w:tcBorders/>
            <w:vAlign w:val="center"/>
          </w:tcPr>
          <w:p>
            <w:pPr>
              <w:pStyle w:val="TableContents"/>
              <w:bidi w:val="0"/>
              <w:spacing w:before="0" w:after="283"/>
              <w:jc w:val="left"/>
              <w:rPr/>
            </w:pPr>
            <w:r>
              <w:rPr/>
              <w:t>Stockholders of Tilray Brands, Inc.</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(38,400</w:t>
            </w:r>
          </w:p>
        </w:tc>
        <w:tc>
          <w:tcPr>
            <w:tcW w:w="202"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(489</w:t>
            </w:r>
          </w:p>
        </w:tc>
        <w:tc>
          <w:tcPr>
            <w:tcW w:w="202" w:type="dxa"/>
            <w:tcBorders/>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(37,911</w:t>
            </w:r>
          </w:p>
        </w:tc>
        <w:tc>
          <w:tcPr>
            <w:tcW w:w="201" w:type="dxa"/>
            <w:tcBorders/>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7753</w:t>
            </w:r>
          </w:p>
        </w:tc>
        <w:tc>
          <w:tcPr>
            <w:tcW w:w="466" w:type="dxa"/>
            <w:tcBorders/>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left"/>
              <w:rPr/>
            </w:pPr>
            <w:r>
              <w:rPr/>
              <w:t>Non-controlling interests</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2,781</w:t>
            </w:r>
          </w:p>
        </w:tc>
        <w:tc>
          <w:tcPr>
            <w:tcW w:w="20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1,814</w:t>
            </w:r>
          </w:p>
        </w:tc>
        <w:tc>
          <w:tcPr>
            <w:tcW w:w="20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967</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9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53</w:t>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left"/>
              <w:rPr/>
            </w:pPr>
            <w:r>
              <w:rPr/>
              <w:t>Weighted average number of common shares - basic</w:t>
            </w:r>
            <w:r>
              <w:rPr>
                <w:position w:val="8"/>
                <w:sz w:val="19"/>
              </w:rPr>
              <w:t>1</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133,340,533</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1463" w:type="dxa"/>
            <w:tcBorders/>
            <w:vAlign w:val="center"/>
          </w:tcPr>
          <w:p>
            <w:pPr>
              <w:pStyle w:val="TableContents"/>
              <w:bidi w:val="0"/>
              <w:spacing w:before="0" w:after="283"/>
              <w:jc w:val="right"/>
              <w:rPr/>
            </w:pPr>
            <w:r>
              <w:rPr/>
              <w:t>106,027,190</w:t>
            </w:r>
          </w:p>
        </w:tc>
        <w:tc>
          <w:tcPr>
            <w:tcW w:w="20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27,313,343</w:t>
            </w:r>
          </w:p>
        </w:tc>
        <w:tc>
          <w:tcPr>
            <w:tcW w:w="20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26</w:t>
            </w:r>
          </w:p>
        </w:tc>
        <w:tc>
          <w:tcPr>
            <w:tcW w:w="466" w:type="dxa"/>
            <w:tcBorders/>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left"/>
              <w:rPr/>
            </w:pPr>
            <w:r>
              <w:rPr/>
              <w:t>Weighted average number of common shares - diluted</w:t>
            </w:r>
            <w:r>
              <w:rPr>
                <w:position w:val="8"/>
                <w:sz w:val="19"/>
              </w:rPr>
              <w:t>1</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133,340,533</w:t>
            </w:r>
          </w:p>
        </w:tc>
        <w:tc>
          <w:tcPr>
            <w:tcW w:w="20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right"/>
              <w:rPr/>
            </w:pPr>
            <w:r>
              <w:rPr/>
              <w:t> </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106,027,190</w:t>
            </w:r>
          </w:p>
        </w:tc>
        <w:tc>
          <w:tcPr>
            <w:tcW w:w="20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25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27,313,343</w:t>
            </w:r>
          </w:p>
        </w:tc>
        <w:tc>
          <w:tcPr>
            <w:tcW w:w="2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t> </w:t>
            </w:r>
          </w:p>
        </w:tc>
        <w:tc>
          <w:tcPr>
            <w:tcW w:w="9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w:t>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left"/>
              <w:rPr/>
            </w:pPr>
            <w:r>
              <w:rPr/>
              <w:t>Net loss per share - basic</w:t>
            </w:r>
            <w:r>
              <w:rPr>
                <w:position w:val="8"/>
                <w:sz w:val="19"/>
              </w:rPr>
              <w:t>1</w:t>
            </w:r>
          </w:p>
        </w:tc>
        <w:tc>
          <w:tcPr>
            <w:tcW w:w="253" w:type="dxa"/>
            <w:tcBorders/>
            <w:vAlign w:val="center"/>
          </w:tcPr>
          <w:p>
            <w:pPr>
              <w:pStyle w:val="TableContents"/>
              <w:bidi w:val="0"/>
              <w:spacing w:before="0" w:after="283"/>
              <w:jc w:val="right"/>
              <w:rPr/>
            </w:pPr>
            <w:r>
              <w:rPr/>
              <w:t>$</w:t>
            </w:r>
          </w:p>
        </w:tc>
        <w:tc>
          <w:tcPr>
            <w:tcW w:w="1463" w:type="dxa"/>
            <w:tcBorders/>
            <w:vAlign w:val="center"/>
          </w:tcPr>
          <w:p>
            <w:pPr>
              <w:pStyle w:val="TableContents"/>
              <w:bidi w:val="0"/>
              <w:spacing w:before="0" w:after="283"/>
              <w:jc w:val="right"/>
              <w:rPr/>
            </w:pPr>
            <w:r>
              <w:rPr/>
              <w:t>(0.32</w:t>
            </w:r>
          </w:p>
        </w:tc>
        <w:tc>
          <w:tcPr>
            <w:tcW w:w="202"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w:t>
            </w:r>
          </w:p>
        </w:tc>
        <w:tc>
          <w:tcPr>
            <w:tcW w:w="1463" w:type="dxa"/>
            <w:tcBorders/>
            <w:vAlign w:val="center"/>
          </w:tcPr>
          <w:p>
            <w:pPr>
              <w:pStyle w:val="TableContents"/>
              <w:bidi w:val="0"/>
              <w:spacing w:before="0" w:after="283"/>
              <w:jc w:val="right"/>
              <w:rPr/>
            </w:pPr>
            <w:r>
              <w:rPr/>
              <w:t>(0.00</w:t>
            </w:r>
          </w:p>
        </w:tc>
        <w:tc>
          <w:tcPr>
            <w:tcW w:w="202" w:type="dxa"/>
            <w:tcBorders/>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right"/>
              <w:rPr/>
            </w:pPr>
            <w:r>
              <w:rPr/>
              <w:t> </w:t>
            </w:r>
          </w:p>
        </w:tc>
        <w:tc>
          <w:tcPr>
            <w:tcW w:w="251" w:type="dxa"/>
            <w:tcBorders/>
            <w:vAlign w:val="center"/>
          </w:tcPr>
          <w:p>
            <w:pPr>
              <w:pStyle w:val="TableContents"/>
              <w:bidi w:val="0"/>
              <w:spacing w:before="0" w:after="283"/>
              <w:jc w:val="right"/>
              <w:rPr/>
            </w:pPr>
            <w:r>
              <w:rPr/>
              <w:t>$</w:t>
            </w:r>
          </w:p>
        </w:tc>
        <w:tc>
          <w:tcPr>
            <w:tcW w:w="1321" w:type="dxa"/>
            <w:tcBorders/>
            <w:vAlign w:val="center"/>
          </w:tcPr>
          <w:p>
            <w:pPr>
              <w:pStyle w:val="TableContents"/>
              <w:bidi w:val="0"/>
              <w:spacing w:before="0" w:after="283"/>
              <w:jc w:val="right"/>
              <w:rPr/>
            </w:pPr>
            <w:r>
              <w:rPr/>
              <w:t>(0.32</w:t>
            </w:r>
          </w:p>
        </w:tc>
        <w:tc>
          <w:tcPr>
            <w:tcW w:w="201" w:type="dxa"/>
            <w:tcBorders/>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10553</w:t>
            </w:r>
          </w:p>
        </w:tc>
        <w:tc>
          <w:tcPr>
            <w:tcW w:w="466" w:type="dxa"/>
            <w:tcBorders/>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left"/>
              <w:rPr/>
            </w:pPr>
            <w:r>
              <w:rPr/>
              <w:t>Net loss per share - diluted</w:t>
            </w:r>
            <w:r>
              <w:rPr>
                <w:position w:val="8"/>
                <w:sz w:val="19"/>
              </w:rPr>
              <w:t>1</w:t>
            </w:r>
          </w:p>
        </w:tc>
        <w:tc>
          <w:tcPr>
            <w:tcW w:w="25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46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(0.32</w:t>
            </w:r>
          </w:p>
        </w:tc>
        <w:tc>
          <w:tcPr>
            <w:tcW w:w="20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right"/>
              <w:rPr/>
            </w:pPr>
            <w:r>
              <w:rPr/>
              <w:t> </w:t>
            </w:r>
          </w:p>
        </w:tc>
        <w:tc>
          <w:tcPr>
            <w:tcW w:w="25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46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(0.00</w:t>
            </w:r>
          </w:p>
        </w:tc>
        <w:tc>
          <w:tcPr>
            <w:tcW w:w="20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right"/>
              <w:rPr/>
            </w:pPr>
            <w:r>
              <w:rPr/>
              <w:t> </w:t>
            </w:r>
          </w:p>
        </w:tc>
        <w:tc>
          <w:tcPr>
            <w:tcW w:w="25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32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(0.32</w:t>
            </w:r>
          </w:p>
        </w:tc>
        <w:tc>
          <w:tcPr>
            <w:tcW w:w="2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62" w:type="dxa"/>
            <w:tcBorders/>
            <w:vAlign w:val="center"/>
          </w:tcPr>
          <w:p>
            <w:pPr>
              <w:pStyle w:val="TableContents"/>
              <w:bidi w:val="0"/>
              <w:spacing w:before="0" w:after="283"/>
              <w:jc w:val="right"/>
              <w:rPr/>
            </w:pPr>
            <w:r>
              <w:rPr/>
              <w:t> </w:t>
            </w:r>
          </w:p>
        </w:tc>
        <w:tc>
          <w:tcPr>
            <w:tcW w:w="93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10553</w:t>
            </w:r>
          </w:p>
        </w:tc>
        <w:tc>
          <w:tcPr>
            <w:tcW w:w="46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712" w:type="dxa"/>
            <w:tcBorders/>
            <w:vAlign w:val="center"/>
          </w:tcPr>
          <w:p>
            <w:pPr>
              <w:pStyle w:val="TableContents"/>
              <w:bidi w:val="0"/>
              <w:spacing w:before="0" w:after="283"/>
              <w:jc w:val="right"/>
              <w:rPr/>
            </w:pPr>
            <w:r>
              <w:rPr/>
              <w:t> </w:t>
            </w:r>
          </w:p>
        </w:tc>
        <w:tc>
          <w:tcPr>
            <w:tcW w:w="1918" w:type="dxa"/>
            <w:gridSpan w:val="3"/>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right"/>
              <w:rPr/>
            </w:pPr>
            <w:r>
              <w:rPr/>
              <w:t> </w:t>
            </w:r>
          </w:p>
        </w:tc>
        <w:tc>
          <w:tcPr>
            <w:tcW w:w="1918" w:type="dxa"/>
            <w:gridSpan w:val="3"/>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right"/>
              <w:rPr/>
            </w:pPr>
            <w:r>
              <w:rPr/>
              <w:t> </w:t>
            </w:r>
          </w:p>
        </w:tc>
        <w:tc>
          <w:tcPr>
            <w:tcW w:w="1773" w:type="dxa"/>
            <w:gridSpan w:val="3"/>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right"/>
              <w:rPr/>
            </w:pPr>
            <w:r>
              <w:rPr/>
              <w:t> </w:t>
            </w:r>
          </w:p>
        </w:tc>
      </w:tr>
      <w:tr>
        <w:trPr/>
        <w:tc>
          <w:tcPr>
            <w:tcW w:w="10205" w:type="dxa"/>
            <w:gridSpan w:val="15"/>
            <w:tcBorders/>
            <w:vAlign w:val="center"/>
          </w:tcPr>
          <w:p>
            <w:pPr>
              <w:pStyle w:val="TableContents"/>
              <w:bidi w:val="0"/>
              <w:spacing w:before="0" w:after="283"/>
              <w:jc w:val="left"/>
              <w:rPr/>
            </w:pPr>
            <w:r>
              <w:rPr>
                <w:position w:val="8"/>
                <w:sz w:val="19"/>
              </w:rPr>
              <w:t>1</w:t>
            </w:r>
            <w:r>
              <w:rPr/>
              <w:t>The prior year share and amounts have been retrospectively adjusted to reflect the Reverse Stock Split, which became effective on December 2, 2025. See Note 1 (Basis of presentation and summary of significant accounting policies) within the Form 10-Q for the period ended August 31, 2026.</w:t>
            </w:r>
          </w:p>
        </w:tc>
      </w:tr>
      <w:tr>
        <w:trPr/>
        <w:tc>
          <w:tcPr>
            <w:tcW w:w="2712" w:type="dxa"/>
            <w:tcBorders/>
            <w:vAlign w:val="center"/>
          </w:tcPr>
          <w:p>
            <w:pPr>
              <w:pStyle w:val="TableContents"/>
              <w:bidi w:val="0"/>
              <w:spacing w:before="0" w:after="283"/>
              <w:jc w:val="left"/>
              <w:rPr/>
            </w:pPr>
            <w:r>
              <w:rPr/>
              <w:t> </w:t>
            </w:r>
          </w:p>
        </w:tc>
        <w:tc>
          <w:tcPr>
            <w:tcW w:w="1918" w:type="dxa"/>
            <w:gridSpan w:val="3"/>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right"/>
              <w:rPr/>
            </w:pPr>
            <w:r>
              <w:rPr/>
              <w:t> </w:t>
            </w:r>
          </w:p>
        </w:tc>
        <w:tc>
          <w:tcPr>
            <w:tcW w:w="1918" w:type="dxa"/>
            <w:gridSpan w:val="3"/>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right"/>
              <w:rPr/>
            </w:pPr>
            <w:r>
              <w:rPr/>
              <w:t> </w:t>
            </w:r>
          </w:p>
        </w:tc>
        <w:tc>
          <w:tcPr>
            <w:tcW w:w="1773" w:type="dxa"/>
            <w:gridSpan w:val="3"/>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righ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4551"/>
        <w:gridCol w:w="237"/>
        <w:gridCol w:w="930"/>
        <w:gridCol w:w="189"/>
        <w:gridCol w:w="153"/>
        <w:gridCol w:w="237"/>
        <w:gridCol w:w="930"/>
        <w:gridCol w:w="189"/>
        <w:gridCol w:w="146"/>
        <w:gridCol w:w="226"/>
        <w:gridCol w:w="841"/>
        <w:gridCol w:w="181"/>
        <w:gridCol w:w="146"/>
        <w:gridCol w:w="817"/>
        <w:gridCol w:w="432"/>
      </w:tblGrid>
      <w:tr>
        <w:trPr/>
        <w:tc>
          <w:tcPr>
            <w:tcW w:w="4551" w:type="dxa"/>
            <w:tcBorders/>
            <w:vAlign w:val="center"/>
          </w:tcPr>
          <w:p>
            <w:pPr>
              <w:pStyle w:val="TableContents"/>
              <w:bidi w:val="0"/>
              <w:spacing w:before="0" w:after="283"/>
              <w:jc w:val="left"/>
              <w:rPr/>
            </w:pPr>
            <w:r>
              <w:rPr>
                <w:rStyle w:val="StrongEmphasis"/>
              </w:rPr>
              <w:t>Condensed Consolidated Statements of Cash Flows</w:t>
            </w:r>
          </w:p>
        </w:tc>
        <w:tc>
          <w:tcPr>
            <w:tcW w:w="1356" w:type="dxa"/>
            <w:gridSpan w:val="3"/>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5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r>
      <w:tr>
        <w:trPr/>
        <w:tc>
          <w:tcPr>
            <w:tcW w:w="4551" w:type="dxa"/>
            <w:tcBorders/>
            <w:vAlign w:val="center"/>
          </w:tcPr>
          <w:p>
            <w:pPr>
              <w:pStyle w:val="TableContents"/>
              <w:bidi w:val="0"/>
              <w:spacing w:before="0" w:after="283"/>
              <w:jc w:val="left"/>
              <w:rPr/>
            </w:pPr>
            <w:r>
              <w:rPr/>
              <w:t> </w:t>
            </w:r>
          </w:p>
        </w:tc>
        <w:tc>
          <w:tcPr>
            <w:tcW w:w="2865" w:type="dxa"/>
            <w:gridSpan w:val="7"/>
            <w:tcBorders/>
            <w:vAlign w:val="center"/>
          </w:tcPr>
          <w:p>
            <w:pPr>
              <w:pStyle w:val="TableContents"/>
              <w:bidi w:val="0"/>
              <w:spacing w:before="0" w:after="283"/>
              <w:jc w:val="center"/>
              <w:rPr/>
            </w:pPr>
            <w:r>
              <w:rPr>
                <w:rStyle w:val="StrongEmphasis"/>
              </w:rPr>
              <w:t>For the three months ended</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r>
      <w:tr>
        <w:trPr/>
        <w:tc>
          <w:tcPr>
            <w:tcW w:w="4551" w:type="dxa"/>
            <w:tcBorders/>
            <w:vAlign w:val="center"/>
          </w:tcPr>
          <w:p>
            <w:pPr>
              <w:pStyle w:val="TableContents"/>
              <w:bidi w:val="0"/>
              <w:spacing w:before="0" w:after="283"/>
              <w:jc w:val="left"/>
              <w:rPr/>
            </w:pPr>
            <w:r>
              <w:rPr/>
              <w:t> </w:t>
            </w:r>
          </w:p>
        </w:tc>
        <w:tc>
          <w:tcPr>
            <w:tcW w:w="1356" w:type="dxa"/>
            <w:gridSpan w:val="3"/>
            <w:tcBorders/>
            <w:vAlign w:val="center"/>
          </w:tcPr>
          <w:p>
            <w:pPr>
              <w:pStyle w:val="TableContents"/>
              <w:bidi w:val="0"/>
              <w:spacing w:before="0" w:after="283"/>
              <w:jc w:val="center"/>
              <w:rPr/>
            </w:pPr>
            <w:r>
              <w:rPr>
                <w:rStyle w:val="StrongEmphasis"/>
              </w:rPr>
              <w:t>August 31,</w:t>
            </w:r>
          </w:p>
        </w:tc>
        <w:tc>
          <w:tcPr>
            <w:tcW w:w="153" w:type="dxa"/>
            <w:tcBorders/>
            <w:vAlign w:val="center"/>
          </w:tcPr>
          <w:p>
            <w:pPr>
              <w:pStyle w:val="TableContents"/>
              <w:bidi w:val="0"/>
              <w:spacing w:before="0" w:after="283"/>
              <w:jc w:val="center"/>
              <w:rPr/>
            </w:pPr>
            <w:r>
              <w:rPr/>
              <w:t> </w:t>
            </w:r>
          </w:p>
        </w:tc>
        <w:tc>
          <w:tcPr>
            <w:tcW w:w="1356" w:type="dxa"/>
            <w:gridSpan w:val="3"/>
            <w:tcBorders/>
            <w:vAlign w:val="center"/>
          </w:tcPr>
          <w:p>
            <w:pPr>
              <w:pStyle w:val="TableContents"/>
              <w:bidi w:val="0"/>
              <w:spacing w:before="0" w:after="283"/>
              <w:jc w:val="center"/>
              <w:rPr/>
            </w:pPr>
            <w:r>
              <w:rPr>
                <w:rStyle w:val="StrongEmphasis"/>
              </w:rPr>
              <w:t>August 31,</w:t>
            </w:r>
          </w:p>
        </w:tc>
        <w:tc>
          <w:tcPr>
            <w:tcW w:w="146" w:type="dxa"/>
            <w:tcBorders/>
            <w:vAlign w:val="center"/>
          </w:tcPr>
          <w:p>
            <w:pPr>
              <w:pStyle w:val="TableContents"/>
              <w:bidi w:val="0"/>
              <w:spacing w:before="0" w:after="283"/>
              <w:jc w:val="left"/>
              <w:rPr/>
            </w:pPr>
            <w:r>
              <w:rPr/>
              <w:t> </w:t>
            </w:r>
          </w:p>
        </w:tc>
        <w:tc>
          <w:tcPr>
            <w:tcW w:w="1248" w:type="dxa"/>
            <w:gridSpan w:val="3"/>
            <w:tcBorders/>
            <w:vAlign w:val="center"/>
          </w:tcPr>
          <w:p>
            <w:pPr>
              <w:pStyle w:val="TableContents"/>
              <w:bidi w:val="0"/>
              <w:spacing w:before="0" w:after="283"/>
              <w:jc w:val="center"/>
              <w:rPr/>
            </w:pPr>
            <w:r>
              <w:rPr>
                <w:rStyle w:val="StrongEmphasis"/>
              </w:rPr>
              <w:t>Change</w:t>
            </w:r>
          </w:p>
        </w:tc>
        <w:tc>
          <w:tcPr>
            <w:tcW w:w="146"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pPr>
            <w:r>
              <w:rPr>
                <w:rStyle w:val="StrongEmphasis"/>
              </w:rPr>
              <w:t>% Change</w:t>
            </w:r>
          </w:p>
        </w:tc>
      </w:tr>
      <w:tr>
        <w:trPr/>
        <w:tc>
          <w:tcPr>
            <w:tcW w:w="4551" w:type="dxa"/>
            <w:tcBorders/>
            <w:vAlign w:val="center"/>
          </w:tcPr>
          <w:p>
            <w:pPr>
              <w:pStyle w:val="TableContents"/>
              <w:bidi w:val="0"/>
              <w:spacing w:before="0" w:after="283"/>
              <w:jc w:val="left"/>
              <w:rPr/>
            </w:pPr>
            <w:r>
              <w:rPr>
                <w:rStyle w:val="StrongEmphasis"/>
              </w:rPr>
              <w:t>(in thousands of US dollars)</w:t>
            </w:r>
          </w:p>
        </w:tc>
        <w:tc>
          <w:tcPr>
            <w:tcW w:w="135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53" w:type="dxa"/>
            <w:tcBorders/>
            <w:vAlign w:val="center"/>
          </w:tcPr>
          <w:p>
            <w:pPr>
              <w:pStyle w:val="TableContents"/>
              <w:bidi w:val="0"/>
              <w:spacing w:before="0" w:after="283"/>
              <w:jc w:val="center"/>
              <w:rPr/>
            </w:pPr>
            <w:r>
              <w:rPr/>
              <w:t> </w:t>
            </w:r>
          </w:p>
        </w:tc>
        <w:tc>
          <w:tcPr>
            <w:tcW w:w="135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left"/>
              <w:rPr/>
            </w:pPr>
            <w:r>
              <w:rPr/>
              <w:t> </w:t>
            </w:r>
          </w:p>
        </w:tc>
        <w:tc>
          <w:tcPr>
            <w:tcW w:w="2643"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 vs. 2025</w:t>
            </w:r>
          </w:p>
        </w:tc>
      </w:tr>
      <w:tr>
        <w:trPr/>
        <w:tc>
          <w:tcPr>
            <w:tcW w:w="4551" w:type="dxa"/>
            <w:tcBorders/>
            <w:vAlign w:val="center"/>
          </w:tcPr>
          <w:p>
            <w:pPr>
              <w:pStyle w:val="TableContents"/>
              <w:bidi w:val="0"/>
              <w:spacing w:before="0" w:after="283"/>
              <w:jc w:val="left"/>
              <w:rPr/>
            </w:pPr>
            <w:r>
              <w:rPr>
                <w:rStyle w:val="StrongEmphasis"/>
              </w:rPr>
              <w:t>Cash provided by (used in) operating activities:</w:t>
            </w:r>
          </w:p>
        </w:tc>
        <w:tc>
          <w:tcPr>
            <w:tcW w:w="1356" w:type="dxa"/>
            <w:gridSpan w:val="3"/>
            <w:tcBorders/>
            <w:vAlign w:val="center"/>
          </w:tcPr>
          <w:p>
            <w:pPr>
              <w:pStyle w:val="TableContents"/>
              <w:bidi w:val="0"/>
              <w:spacing w:before="0" w:after="283"/>
              <w:jc w:val="right"/>
              <w:rPr/>
            </w:pPr>
            <w:r>
              <w:rPr/>
              <w:t> </w:t>
            </w:r>
          </w:p>
        </w:tc>
        <w:tc>
          <w:tcPr>
            <w:tcW w:w="153" w:type="dxa"/>
            <w:tcBorders/>
            <w:vAlign w:val="center"/>
          </w:tcPr>
          <w:p>
            <w:pPr>
              <w:pStyle w:val="TableContents"/>
              <w:bidi w:val="0"/>
              <w:spacing w:before="0" w:after="283"/>
              <w:jc w:val="right"/>
              <w:rPr/>
            </w:pPr>
            <w:r>
              <w:rPr/>
              <w:t> </w:t>
            </w:r>
          </w:p>
        </w:tc>
        <w:tc>
          <w:tcPr>
            <w:tcW w:w="135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9" w:type="dxa"/>
            <w:gridSpan w:val="2"/>
            <w:tcBorders/>
            <w:vAlign w:val="center"/>
          </w:tcPr>
          <w:p>
            <w:pPr>
              <w:pStyle w:val="TableContents"/>
              <w:bidi w:val="0"/>
              <w:spacing w:before="0" w:after="283"/>
              <w:jc w:val="right"/>
              <w:rPr/>
            </w:pPr>
            <w:r>
              <w:rPr/>
              <w:t> </w:t>
            </w:r>
          </w:p>
        </w:tc>
      </w:tr>
      <w:tr>
        <w:trPr/>
        <w:tc>
          <w:tcPr>
            <w:tcW w:w="4551" w:type="dxa"/>
            <w:tcBorders/>
            <w:vAlign w:val="center"/>
          </w:tcPr>
          <w:p>
            <w:pPr>
              <w:pStyle w:val="TableContents"/>
              <w:bidi w:val="0"/>
              <w:spacing w:before="0" w:after="283"/>
              <w:jc w:val="left"/>
              <w:rPr/>
            </w:pPr>
            <w:r>
              <w:rPr/>
              <w:t>Net income (loss)</w:t>
            </w:r>
          </w:p>
        </w:tc>
        <w:tc>
          <w:tcPr>
            <w:tcW w:w="237" w:type="dxa"/>
            <w:tcBorders/>
            <w:vAlign w:val="center"/>
          </w:tcPr>
          <w:p>
            <w:pPr>
              <w:pStyle w:val="TableContents"/>
              <w:bidi w:val="0"/>
              <w:spacing w:before="0" w:after="283"/>
              <w:jc w:val="right"/>
              <w:rPr/>
            </w:pPr>
            <w:r>
              <w:rPr/>
              <w:t>$</w:t>
            </w:r>
          </w:p>
        </w:tc>
        <w:tc>
          <w:tcPr>
            <w:tcW w:w="930" w:type="dxa"/>
            <w:tcBorders/>
            <w:vAlign w:val="center"/>
          </w:tcPr>
          <w:p>
            <w:pPr>
              <w:pStyle w:val="TableContents"/>
              <w:bidi w:val="0"/>
              <w:spacing w:before="0" w:after="283"/>
              <w:jc w:val="right"/>
              <w:rPr/>
            </w:pPr>
            <w:r>
              <w:rPr/>
              <w:t>(40,031</w:t>
            </w:r>
          </w:p>
        </w:tc>
        <w:tc>
          <w:tcPr>
            <w:tcW w:w="18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w:t>
            </w:r>
          </w:p>
        </w:tc>
        <w:tc>
          <w:tcPr>
            <w:tcW w:w="930" w:type="dxa"/>
            <w:tcBorders/>
            <w:vAlign w:val="center"/>
          </w:tcPr>
          <w:p>
            <w:pPr>
              <w:pStyle w:val="TableContents"/>
              <w:bidi w:val="0"/>
              <w:spacing w:before="0" w:after="283"/>
              <w:jc w:val="right"/>
              <w:rPr/>
            </w:pPr>
            <w:r>
              <w:rPr/>
              <w:t>1,513</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41" w:type="dxa"/>
            <w:tcBorders/>
            <w:vAlign w:val="center"/>
          </w:tcPr>
          <w:p>
            <w:pPr>
              <w:pStyle w:val="TableContents"/>
              <w:bidi w:val="0"/>
              <w:spacing w:before="0" w:after="283"/>
              <w:jc w:val="right"/>
              <w:rPr/>
            </w:pPr>
            <w:r>
              <w:rPr/>
              <w:t>(41,544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(2746</w:t>
            </w:r>
          </w:p>
        </w:tc>
        <w:tc>
          <w:tcPr>
            <w:tcW w:w="432" w:type="dxa"/>
            <w:tcBorders/>
            <w:vAlign w:val="center"/>
          </w:tcPr>
          <w:p>
            <w:pPr>
              <w:pStyle w:val="TableContents"/>
              <w:bidi w:val="0"/>
              <w:spacing w:before="0" w:after="283"/>
              <w:jc w:val="left"/>
              <w:rPr/>
            </w:pPr>
            <w:r>
              <w:rPr/>
              <w:t>)%</w:t>
            </w:r>
          </w:p>
        </w:tc>
      </w:tr>
      <w:tr>
        <w:trPr/>
        <w:tc>
          <w:tcPr>
            <w:tcW w:w="4551" w:type="dxa"/>
            <w:tcBorders/>
            <w:vAlign w:val="center"/>
          </w:tcPr>
          <w:p>
            <w:pPr>
              <w:pStyle w:val="TableContents"/>
              <w:bidi w:val="0"/>
              <w:spacing w:before="0" w:after="283"/>
              <w:jc w:val="left"/>
              <w:rPr/>
            </w:pPr>
            <w:r>
              <w:rPr/>
              <w:t>Adjustments for:</w:t>
            </w:r>
          </w:p>
        </w:tc>
        <w:tc>
          <w:tcPr>
            <w:tcW w:w="1356" w:type="dxa"/>
            <w:gridSpan w:val="3"/>
            <w:tcBorders/>
            <w:vAlign w:val="center"/>
          </w:tcPr>
          <w:p>
            <w:pPr>
              <w:pStyle w:val="TableContents"/>
              <w:bidi w:val="0"/>
              <w:spacing w:before="0" w:after="283"/>
              <w:jc w:val="right"/>
              <w:rPr/>
            </w:pPr>
            <w:r>
              <w:rPr/>
              <w:t> </w:t>
            </w:r>
          </w:p>
        </w:tc>
        <w:tc>
          <w:tcPr>
            <w:tcW w:w="153" w:type="dxa"/>
            <w:tcBorders/>
            <w:vAlign w:val="center"/>
          </w:tcPr>
          <w:p>
            <w:pPr>
              <w:pStyle w:val="TableContents"/>
              <w:bidi w:val="0"/>
              <w:spacing w:before="0" w:after="283"/>
              <w:jc w:val="right"/>
              <w:rPr/>
            </w:pPr>
            <w:r>
              <w:rPr/>
              <w:t> </w:t>
            </w:r>
          </w:p>
        </w:tc>
        <w:tc>
          <w:tcPr>
            <w:tcW w:w="135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9" w:type="dxa"/>
            <w:gridSpan w:val="2"/>
            <w:tcBorders/>
            <w:vAlign w:val="center"/>
          </w:tcPr>
          <w:p>
            <w:pPr>
              <w:pStyle w:val="TableContents"/>
              <w:bidi w:val="0"/>
              <w:spacing w:before="0" w:after="283"/>
              <w:jc w:val="right"/>
              <w:rPr/>
            </w:pPr>
            <w:r>
              <w:rPr/>
              <w:t> </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Income tax expense (recovery), net</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1,725</w:t>
            </w:r>
          </w:p>
        </w:tc>
        <w:tc>
          <w:tcPr>
            <w:tcW w:w="18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(2,285</w:t>
            </w:r>
          </w:p>
        </w:tc>
        <w:tc>
          <w:tcPr>
            <w:tcW w:w="1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4,010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(175</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Unrealized foreign exchange (gain) loss</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4,524</w:t>
            </w:r>
          </w:p>
        </w:tc>
        <w:tc>
          <w:tcPr>
            <w:tcW w:w="18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(2,328</w:t>
            </w:r>
          </w:p>
        </w:tc>
        <w:tc>
          <w:tcPr>
            <w:tcW w:w="1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6,852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(294</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18,638</w:t>
            </w:r>
          </w:p>
        </w:tc>
        <w:tc>
          <w:tcPr>
            <w:tcW w:w="18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15,561</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3,077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20</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Accretion of convertible debt discount</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1,465</w:t>
            </w:r>
          </w:p>
        </w:tc>
        <w:tc>
          <w:tcPr>
            <w:tcW w:w="18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1,976</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(511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(26</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Unrealized (gain) loss on digital assets</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(46</w:t>
            </w:r>
          </w:p>
        </w:tc>
        <w:tc>
          <w:tcPr>
            <w:tcW w:w="18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8</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(54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(675</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Other non-cash items</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(1,745</w:t>
            </w:r>
          </w:p>
        </w:tc>
        <w:tc>
          <w:tcPr>
            <w:tcW w:w="18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282</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(2,027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(719</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6,584</w:t>
            </w:r>
          </w:p>
        </w:tc>
        <w:tc>
          <w:tcPr>
            <w:tcW w:w="18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5,052</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1,532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30</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Loss (gain) on long-term investments</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27</w:t>
            </w:r>
          </w:p>
        </w:tc>
        <w:tc>
          <w:tcPr>
            <w:tcW w:w="18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(39</w:t>
            </w:r>
          </w:p>
        </w:tc>
        <w:tc>
          <w:tcPr>
            <w:tcW w:w="1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(169</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Loss on derivative instruments</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w:t>
            </w:r>
          </w:p>
        </w:tc>
        <w:tc>
          <w:tcPr>
            <w:tcW w:w="18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3,670</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(3,670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(100</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Change in fair value of contingent consideration</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w:t>
            </w:r>
          </w:p>
        </w:tc>
        <w:tc>
          <w:tcPr>
            <w:tcW w:w="18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(15,000</w:t>
            </w:r>
          </w:p>
        </w:tc>
        <w:tc>
          <w:tcPr>
            <w:tcW w:w="1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15,000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(100</w:t>
            </w:r>
          </w:p>
        </w:tc>
        <w:tc>
          <w:tcPr>
            <w:tcW w:w="432" w:type="dxa"/>
            <w:tcBorders/>
            <w:vAlign w:val="center"/>
          </w:tcPr>
          <w:p>
            <w:pPr>
              <w:pStyle w:val="TableContents"/>
              <w:bidi w:val="0"/>
              <w:spacing w:before="0" w:after="283"/>
              <w:jc w:val="left"/>
              <w:rPr/>
            </w:pPr>
            <w:r>
              <w:rPr/>
              <w:t>)%</w:t>
            </w:r>
          </w:p>
        </w:tc>
      </w:tr>
      <w:tr>
        <w:trPr/>
        <w:tc>
          <w:tcPr>
            <w:tcW w:w="4551" w:type="dxa"/>
            <w:tcBorders/>
            <w:vAlign w:val="center"/>
          </w:tcPr>
          <w:p>
            <w:pPr>
              <w:pStyle w:val="TableContents"/>
              <w:bidi w:val="0"/>
              <w:spacing w:before="0" w:after="283"/>
              <w:jc w:val="left"/>
              <w:rPr/>
            </w:pPr>
            <w:r>
              <w:rPr/>
              <w:t>Change in non-cash working capital:</w:t>
            </w:r>
          </w:p>
        </w:tc>
        <w:tc>
          <w:tcPr>
            <w:tcW w:w="1356" w:type="dxa"/>
            <w:gridSpan w:val="3"/>
            <w:tcBorders/>
            <w:vAlign w:val="center"/>
          </w:tcPr>
          <w:p>
            <w:pPr>
              <w:pStyle w:val="TableContents"/>
              <w:bidi w:val="0"/>
              <w:spacing w:before="0" w:after="283"/>
              <w:jc w:val="right"/>
              <w:rPr/>
            </w:pPr>
            <w:r>
              <w:rPr/>
              <w:t> </w:t>
            </w:r>
          </w:p>
        </w:tc>
        <w:tc>
          <w:tcPr>
            <w:tcW w:w="153" w:type="dxa"/>
            <w:tcBorders/>
            <w:vAlign w:val="center"/>
          </w:tcPr>
          <w:p>
            <w:pPr>
              <w:pStyle w:val="TableContents"/>
              <w:bidi w:val="0"/>
              <w:spacing w:before="0" w:after="283"/>
              <w:jc w:val="right"/>
              <w:rPr/>
            </w:pPr>
            <w:r>
              <w:rPr/>
              <w:t> </w:t>
            </w:r>
          </w:p>
        </w:tc>
        <w:tc>
          <w:tcPr>
            <w:tcW w:w="135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9" w:type="dxa"/>
            <w:gridSpan w:val="2"/>
            <w:tcBorders/>
            <w:vAlign w:val="center"/>
          </w:tcPr>
          <w:p>
            <w:pPr>
              <w:pStyle w:val="TableContents"/>
              <w:bidi w:val="0"/>
              <w:spacing w:before="0" w:after="283"/>
              <w:jc w:val="right"/>
              <w:rPr/>
            </w:pPr>
            <w:r>
              <w:rPr/>
              <w:t> </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Accounts receivable</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(1,319</w:t>
            </w:r>
          </w:p>
        </w:tc>
        <w:tc>
          <w:tcPr>
            <w:tcW w:w="18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14,414</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(15,733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(109</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Prepaids and other current assets</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1,004</w:t>
            </w:r>
          </w:p>
        </w:tc>
        <w:tc>
          <w:tcPr>
            <w:tcW w:w="18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(7,133</w:t>
            </w:r>
          </w:p>
        </w:tc>
        <w:tc>
          <w:tcPr>
            <w:tcW w:w="1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8,137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(114</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Inventory</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(27,781</w:t>
            </w:r>
          </w:p>
        </w:tc>
        <w:tc>
          <w:tcPr>
            <w:tcW w:w="18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(11,905</w:t>
            </w:r>
          </w:p>
        </w:tc>
        <w:tc>
          <w:tcPr>
            <w:tcW w:w="1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(15,876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133</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Accounts payable and accrued liabilities</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20,414</w:t>
            </w:r>
          </w:p>
        </w:tc>
        <w:tc>
          <w:tcPr>
            <w:tcW w:w="18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(5,127</w:t>
            </w:r>
          </w:p>
        </w:tc>
        <w:tc>
          <w:tcPr>
            <w:tcW w:w="1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25,541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(498</w:t>
            </w:r>
          </w:p>
        </w:tc>
        <w:tc>
          <w:tcPr>
            <w:tcW w:w="432" w:type="dxa"/>
            <w:tcBorders/>
            <w:vAlign w:val="center"/>
          </w:tcPr>
          <w:p>
            <w:pPr>
              <w:pStyle w:val="TableContents"/>
              <w:bidi w:val="0"/>
              <w:spacing w:before="0" w:after="283"/>
              <w:jc w:val="left"/>
              <w:rPr/>
            </w:pPr>
            <w:r>
              <w:rPr/>
              <w:t>)%</w:t>
            </w:r>
          </w:p>
        </w:tc>
      </w:tr>
      <w:tr>
        <w:trPr/>
        <w:tc>
          <w:tcPr>
            <w:tcW w:w="4551" w:type="dxa"/>
            <w:tcBorders/>
            <w:vAlign w:val="center"/>
          </w:tcPr>
          <w:p>
            <w:pPr>
              <w:pStyle w:val="TableContents"/>
              <w:bidi w:val="0"/>
              <w:spacing w:before="0" w:after="283"/>
              <w:jc w:val="left"/>
              <w:rPr/>
            </w:pPr>
            <w:r>
              <w:rPr/>
              <w:t>Net cash used in operating activities</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(16,541</w:t>
            </w:r>
          </w:p>
        </w:tc>
        <w:tc>
          <w:tcPr>
            <w:tcW w:w="1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 </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(1,341</w:t>
            </w:r>
          </w:p>
        </w:tc>
        <w:tc>
          <w:tcPr>
            <w:tcW w:w="1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(15,200</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1133</w:t>
            </w:r>
          </w:p>
        </w:tc>
        <w:tc>
          <w:tcPr>
            <w:tcW w:w="43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4551" w:type="dxa"/>
            <w:tcBorders/>
            <w:vAlign w:val="center"/>
          </w:tcPr>
          <w:p>
            <w:pPr>
              <w:pStyle w:val="TableContents"/>
              <w:bidi w:val="0"/>
              <w:spacing w:before="0" w:after="283"/>
              <w:jc w:val="left"/>
              <w:rPr/>
            </w:pPr>
            <w:r>
              <w:rPr>
                <w:rStyle w:val="StrongEmphasis"/>
              </w:rPr>
              <w:t>Cash provided by (used in) investing activities:</w:t>
            </w:r>
          </w:p>
        </w:tc>
        <w:tc>
          <w:tcPr>
            <w:tcW w:w="1356" w:type="dxa"/>
            <w:gridSpan w:val="3"/>
            <w:tcBorders/>
            <w:vAlign w:val="center"/>
          </w:tcPr>
          <w:p>
            <w:pPr>
              <w:pStyle w:val="TableContents"/>
              <w:bidi w:val="0"/>
              <w:spacing w:before="0" w:after="283"/>
              <w:jc w:val="right"/>
              <w:rPr/>
            </w:pPr>
            <w:r>
              <w:rPr/>
              <w:t> </w:t>
            </w:r>
          </w:p>
        </w:tc>
        <w:tc>
          <w:tcPr>
            <w:tcW w:w="153" w:type="dxa"/>
            <w:tcBorders/>
            <w:vAlign w:val="center"/>
          </w:tcPr>
          <w:p>
            <w:pPr>
              <w:pStyle w:val="TableContents"/>
              <w:bidi w:val="0"/>
              <w:spacing w:before="0" w:after="283"/>
              <w:jc w:val="right"/>
              <w:rPr/>
            </w:pPr>
            <w:r>
              <w:rPr/>
              <w:t> </w:t>
            </w:r>
          </w:p>
        </w:tc>
        <w:tc>
          <w:tcPr>
            <w:tcW w:w="135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9" w:type="dxa"/>
            <w:gridSpan w:val="2"/>
            <w:tcBorders/>
            <w:vAlign w:val="center"/>
          </w:tcPr>
          <w:p>
            <w:pPr>
              <w:pStyle w:val="TableContents"/>
              <w:bidi w:val="0"/>
              <w:spacing w:before="0" w:after="283"/>
              <w:jc w:val="right"/>
              <w:rPr/>
            </w:pPr>
            <w:r>
              <w:rPr/>
              <w:t> </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Investment in capital and intangible assets</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(11,009</w:t>
            </w:r>
          </w:p>
        </w:tc>
        <w:tc>
          <w:tcPr>
            <w:tcW w:w="18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(9,523</w:t>
            </w:r>
          </w:p>
        </w:tc>
        <w:tc>
          <w:tcPr>
            <w:tcW w:w="1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(1,486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16</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Proceeds from disposal of capital and intangible assets</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101</w:t>
            </w:r>
          </w:p>
        </w:tc>
        <w:tc>
          <w:tcPr>
            <w:tcW w:w="18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293</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(192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(66</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Investment in digital assets</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w:t>
            </w:r>
          </w:p>
        </w:tc>
        <w:tc>
          <w:tcPr>
            <w:tcW w:w="18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(1,000</w:t>
            </w:r>
          </w:p>
        </w:tc>
        <w:tc>
          <w:tcPr>
            <w:tcW w:w="1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1,000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(100</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Sale (purchase) of marketable securities, net</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2,242</w:t>
            </w:r>
          </w:p>
        </w:tc>
        <w:tc>
          <w:tcPr>
            <w:tcW w:w="18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34,697</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(32,455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(94</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Proceeds from long-term investments</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133</w:t>
            </w:r>
          </w:p>
        </w:tc>
        <w:tc>
          <w:tcPr>
            <w:tcW w:w="18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NM</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Business acquisitions, net of cash acquired</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(720</w:t>
            </w:r>
          </w:p>
        </w:tc>
        <w:tc>
          <w:tcPr>
            <w:tcW w:w="18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(720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NM</w:t>
            </w:r>
          </w:p>
        </w:tc>
      </w:tr>
      <w:tr>
        <w:trPr/>
        <w:tc>
          <w:tcPr>
            <w:tcW w:w="4551" w:type="dxa"/>
            <w:tcBorders/>
            <w:vAlign w:val="center"/>
          </w:tcPr>
          <w:p>
            <w:pPr>
              <w:pStyle w:val="TableContents"/>
              <w:bidi w:val="0"/>
              <w:spacing w:before="0" w:after="283"/>
              <w:jc w:val="left"/>
              <w:rPr/>
            </w:pPr>
            <w:r>
              <w:rPr/>
              <w:t>Net cash used in investing activities</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(9,253</w:t>
            </w:r>
          </w:p>
        </w:tc>
        <w:tc>
          <w:tcPr>
            <w:tcW w:w="1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 </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24,467</w:t>
            </w:r>
          </w:p>
        </w:tc>
        <w:tc>
          <w:tcPr>
            <w:tcW w:w="1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(33,720</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(138</w:t>
            </w:r>
          </w:p>
        </w:tc>
        <w:tc>
          <w:tcPr>
            <w:tcW w:w="43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4551" w:type="dxa"/>
            <w:tcBorders/>
            <w:vAlign w:val="center"/>
          </w:tcPr>
          <w:p>
            <w:pPr>
              <w:pStyle w:val="TableContents"/>
              <w:bidi w:val="0"/>
              <w:spacing w:before="0" w:after="283"/>
              <w:jc w:val="left"/>
              <w:rPr/>
            </w:pPr>
            <w:r>
              <w:rPr>
                <w:rStyle w:val="StrongEmphasis"/>
              </w:rPr>
              <w:t>Cash provided by (used in) financing activities:</w:t>
            </w:r>
          </w:p>
        </w:tc>
        <w:tc>
          <w:tcPr>
            <w:tcW w:w="1356" w:type="dxa"/>
            <w:gridSpan w:val="3"/>
            <w:tcBorders/>
            <w:vAlign w:val="center"/>
          </w:tcPr>
          <w:p>
            <w:pPr>
              <w:pStyle w:val="TableContents"/>
              <w:bidi w:val="0"/>
              <w:spacing w:before="0" w:after="283"/>
              <w:jc w:val="right"/>
              <w:rPr/>
            </w:pPr>
            <w:r>
              <w:rPr/>
              <w:t> </w:t>
            </w:r>
          </w:p>
        </w:tc>
        <w:tc>
          <w:tcPr>
            <w:tcW w:w="153" w:type="dxa"/>
            <w:tcBorders/>
            <w:vAlign w:val="center"/>
          </w:tcPr>
          <w:p>
            <w:pPr>
              <w:pStyle w:val="TableContents"/>
              <w:bidi w:val="0"/>
              <w:spacing w:before="0" w:after="283"/>
              <w:jc w:val="right"/>
              <w:rPr/>
            </w:pPr>
            <w:r>
              <w:rPr/>
              <w:t> </w:t>
            </w:r>
          </w:p>
        </w:tc>
        <w:tc>
          <w:tcPr>
            <w:tcW w:w="135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9" w:type="dxa"/>
            <w:gridSpan w:val="2"/>
            <w:tcBorders/>
            <w:vAlign w:val="center"/>
          </w:tcPr>
          <w:p>
            <w:pPr>
              <w:pStyle w:val="TableContents"/>
              <w:bidi w:val="0"/>
              <w:spacing w:before="0" w:after="283"/>
              <w:jc w:val="right"/>
              <w:rPr/>
            </w:pPr>
            <w:r>
              <w:rPr/>
              <w:t> </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Share capital issued, net of cash issuance costs</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22,338</w:t>
            </w:r>
          </w:p>
        </w:tc>
        <w:tc>
          <w:tcPr>
            <w:tcW w:w="18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22,491</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(153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17" w:type="dxa"/>
            <w:tcBorders/>
            <w:vAlign w:val="center"/>
          </w:tcPr>
          <w:p>
            <w:pPr>
              <w:pStyle w:val="TableContents"/>
              <w:bidi w:val="0"/>
              <w:spacing w:before="0" w:after="283"/>
              <w:jc w:val="right"/>
              <w:rPr/>
            </w:pPr>
            <w:r>
              <w:rPr/>
              <w:t>(1</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Repayment of long-term debt</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(5,846</w:t>
            </w:r>
          </w:p>
        </w:tc>
        <w:tc>
          <w:tcPr>
            <w:tcW w:w="18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(2,653</w:t>
            </w:r>
          </w:p>
        </w:tc>
        <w:tc>
          <w:tcPr>
            <w:tcW w:w="1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(3,193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120</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Repayment of lease liabilities</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(2,438</w:t>
            </w:r>
          </w:p>
        </w:tc>
        <w:tc>
          <w:tcPr>
            <w:tcW w:w="18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(994</w:t>
            </w:r>
          </w:p>
        </w:tc>
        <w:tc>
          <w:tcPr>
            <w:tcW w:w="1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(1,444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145</w:t>
            </w:r>
          </w:p>
        </w:tc>
        <w:tc>
          <w:tcPr>
            <w:tcW w:w="432" w:type="dxa"/>
            <w:tcBorders/>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Net (increase) decrease in bank indebtedness</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(87</w:t>
            </w:r>
          </w:p>
        </w:tc>
        <w:tc>
          <w:tcPr>
            <w:tcW w:w="18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1,004</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(1,091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(109</w:t>
            </w:r>
          </w:p>
        </w:tc>
        <w:tc>
          <w:tcPr>
            <w:tcW w:w="432" w:type="dxa"/>
            <w:tcBorders/>
            <w:vAlign w:val="center"/>
          </w:tcPr>
          <w:p>
            <w:pPr>
              <w:pStyle w:val="TableContents"/>
              <w:bidi w:val="0"/>
              <w:spacing w:before="0" w:after="283"/>
              <w:jc w:val="left"/>
              <w:rPr/>
            </w:pPr>
            <w:r>
              <w:rPr/>
              <w:t>)%</w:t>
            </w:r>
          </w:p>
        </w:tc>
      </w:tr>
      <w:tr>
        <w:trPr/>
        <w:tc>
          <w:tcPr>
            <w:tcW w:w="4551" w:type="dxa"/>
            <w:tcBorders/>
            <w:vAlign w:val="center"/>
          </w:tcPr>
          <w:p>
            <w:pPr>
              <w:pStyle w:val="TableContents"/>
              <w:bidi w:val="0"/>
              <w:spacing w:before="0" w:after="283"/>
              <w:jc w:val="left"/>
              <w:rPr/>
            </w:pPr>
            <w:r>
              <w:rPr/>
              <w:t>Net cash provided by financing activities</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13,967</w:t>
            </w:r>
          </w:p>
        </w:tc>
        <w:tc>
          <w:tcPr>
            <w:tcW w:w="1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19,848</w:t>
            </w:r>
          </w:p>
        </w:tc>
        <w:tc>
          <w:tcPr>
            <w:tcW w:w="1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(5,881</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w:t>
            </w:r>
          </w:p>
        </w:tc>
        <w:tc>
          <w:tcPr>
            <w:tcW w:w="43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4551" w:type="dxa"/>
            <w:tcBorders/>
            <w:tcMar>
              <w:top w:w="0" w:type="dxa"/>
              <w:left w:w="0" w:type="dxa"/>
              <w:bottom w:w="0" w:type="dxa"/>
              <w:right w:w="0" w:type="dxa"/>
            </w:tcMar>
            <w:vAlign w:val="center"/>
          </w:tcPr>
          <w:p>
            <w:pPr>
              <w:pStyle w:val="TableContents"/>
              <w:bidi w:val="0"/>
              <w:spacing w:before="0" w:after="283"/>
              <w:jc w:val="left"/>
              <w:rPr/>
            </w:pPr>
            <w:r>
              <w:rPr/>
              <w:t>Effect of foreign exchange on cash and cash equivalents</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828</w:t>
            </w:r>
          </w:p>
        </w:tc>
        <w:tc>
          <w:tcPr>
            <w:tcW w:w="1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188</w:t>
            </w:r>
          </w:p>
        </w:tc>
        <w:tc>
          <w:tcPr>
            <w:tcW w:w="1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640</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340</w:t>
            </w:r>
          </w:p>
        </w:tc>
        <w:tc>
          <w:tcPr>
            <w:tcW w:w="43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4551" w:type="dxa"/>
            <w:tcBorders/>
            <w:vAlign w:val="center"/>
          </w:tcPr>
          <w:p>
            <w:pPr>
              <w:pStyle w:val="TableContents"/>
              <w:bidi w:val="0"/>
              <w:spacing w:before="0" w:after="283"/>
              <w:jc w:val="left"/>
              <w:rPr/>
            </w:pPr>
            <w:r>
              <w:rPr/>
              <w:t>Net increase (decrease) in cash and cash equivalents</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(10,999</w:t>
            </w:r>
          </w:p>
        </w:tc>
        <w:tc>
          <w:tcPr>
            <w:tcW w:w="18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43,162</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(54,161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(125</w:t>
            </w:r>
          </w:p>
        </w:tc>
        <w:tc>
          <w:tcPr>
            <w:tcW w:w="432" w:type="dxa"/>
            <w:tcBorders/>
            <w:vAlign w:val="center"/>
          </w:tcPr>
          <w:p>
            <w:pPr>
              <w:pStyle w:val="TableContents"/>
              <w:bidi w:val="0"/>
              <w:spacing w:before="0" w:after="283"/>
              <w:jc w:val="left"/>
              <w:rPr/>
            </w:pPr>
            <w:r>
              <w:rPr/>
              <w:t>)%</w:t>
            </w:r>
          </w:p>
        </w:tc>
      </w:tr>
      <w:tr>
        <w:trPr/>
        <w:tc>
          <w:tcPr>
            <w:tcW w:w="4551" w:type="dxa"/>
            <w:tcBorders/>
            <w:vAlign w:val="center"/>
          </w:tcPr>
          <w:p>
            <w:pPr>
              <w:pStyle w:val="TableContents"/>
              <w:bidi w:val="0"/>
              <w:spacing w:before="0" w:after="283"/>
              <w:jc w:val="left"/>
              <w:rPr/>
            </w:pPr>
            <w:r>
              <w:rPr/>
              <w:t>Cash and cash equivalents, beginning of period</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229,342</w:t>
            </w:r>
          </w:p>
        </w:tc>
        <w:tc>
          <w:tcPr>
            <w:tcW w:w="18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221,666</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7,676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3</w:t>
            </w:r>
          </w:p>
        </w:tc>
        <w:tc>
          <w:tcPr>
            <w:tcW w:w="432" w:type="dxa"/>
            <w:tcBorders/>
            <w:vAlign w:val="center"/>
          </w:tcPr>
          <w:p>
            <w:pPr>
              <w:pStyle w:val="TableContents"/>
              <w:bidi w:val="0"/>
              <w:spacing w:before="0" w:after="283"/>
              <w:jc w:val="left"/>
              <w:rPr/>
            </w:pPr>
            <w:r>
              <w:rPr/>
              <w:t>%</w:t>
            </w:r>
          </w:p>
        </w:tc>
      </w:tr>
      <w:tr>
        <w:trPr/>
        <w:tc>
          <w:tcPr>
            <w:tcW w:w="4551" w:type="dxa"/>
            <w:tcBorders/>
            <w:vAlign w:val="center"/>
          </w:tcPr>
          <w:p>
            <w:pPr>
              <w:pStyle w:val="TableContents"/>
              <w:bidi w:val="0"/>
              <w:spacing w:before="0" w:after="283"/>
              <w:jc w:val="left"/>
              <w:rPr/>
            </w:pPr>
            <w:r>
              <w:rPr/>
              <w:t>Cash and cash equivalents and restricted cash, end of period</w:t>
            </w:r>
          </w:p>
        </w:tc>
        <w:tc>
          <w:tcPr>
            <w:tcW w:w="23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218,343</w:t>
            </w:r>
          </w:p>
        </w:tc>
        <w:tc>
          <w:tcPr>
            <w:tcW w:w="1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right"/>
              <w:rPr/>
            </w:pPr>
            <w:r>
              <w:rPr/>
              <w:t> </w:t>
            </w:r>
          </w:p>
        </w:tc>
        <w:tc>
          <w:tcPr>
            <w:tcW w:w="23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264,828</w:t>
            </w:r>
          </w:p>
        </w:tc>
        <w:tc>
          <w:tcPr>
            <w:tcW w:w="1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(46,485</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(18</w:t>
            </w:r>
          </w:p>
        </w:tc>
        <w:tc>
          <w:tcPr>
            <w:tcW w:w="43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4551" w:type="dxa"/>
            <w:tcBorders/>
            <w:vAlign w:val="center"/>
          </w:tcPr>
          <w:p>
            <w:pPr>
              <w:pStyle w:val="TableContents"/>
              <w:bidi w:val="0"/>
              <w:spacing w:before="0" w:after="283"/>
              <w:jc w:val="right"/>
              <w:rPr/>
            </w:pPr>
            <w:r>
              <w:rPr/>
              <w:t> </w:t>
            </w:r>
          </w:p>
        </w:tc>
        <w:tc>
          <w:tcPr>
            <w:tcW w:w="1356" w:type="dxa"/>
            <w:gridSpan w:val="3"/>
            <w:tcBorders/>
            <w:vAlign w:val="center"/>
          </w:tcPr>
          <w:p>
            <w:pPr>
              <w:pStyle w:val="TableContents"/>
              <w:bidi w:val="0"/>
              <w:spacing w:before="0" w:after="283"/>
              <w:jc w:val="right"/>
              <w:rPr/>
            </w:pPr>
            <w:r>
              <w:rPr/>
              <w:t> </w:t>
            </w:r>
          </w:p>
        </w:tc>
        <w:tc>
          <w:tcPr>
            <w:tcW w:w="153" w:type="dxa"/>
            <w:tcBorders/>
            <w:vAlign w:val="center"/>
          </w:tcPr>
          <w:p>
            <w:pPr>
              <w:pStyle w:val="TableContents"/>
              <w:bidi w:val="0"/>
              <w:spacing w:before="0" w:after="283"/>
              <w:jc w:val="right"/>
              <w:rPr/>
            </w:pPr>
            <w:r>
              <w:rPr/>
              <w:t> </w:t>
            </w:r>
          </w:p>
        </w:tc>
        <w:tc>
          <w:tcPr>
            <w:tcW w:w="135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9" w:type="dxa"/>
            <w:gridSpan w:val="2"/>
            <w:tcBorders/>
            <w:vAlign w:val="center"/>
          </w:tcPr>
          <w:p>
            <w:pPr>
              <w:pStyle w:val="TableContents"/>
              <w:bidi w:val="0"/>
              <w:spacing w:before="0" w:after="283"/>
              <w:jc w:val="righ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809"/>
        <w:gridCol w:w="398"/>
        <w:gridCol w:w="1566"/>
        <w:gridCol w:w="318"/>
        <w:gridCol w:w="151"/>
        <w:gridCol w:w="1166"/>
        <w:gridCol w:w="146"/>
        <w:gridCol w:w="398"/>
        <w:gridCol w:w="1565"/>
        <w:gridCol w:w="318"/>
        <w:gridCol w:w="151"/>
        <w:gridCol w:w="1219"/>
      </w:tblGrid>
      <w:tr>
        <w:trPr/>
        <w:tc>
          <w:tcPr>
            <w:tcW w:w="2809" w:type="dxa"/>
            <w:tcBorders/>
            <w:vAlign w:val="center"/>
          </w:tcPr>
          <w:p>
            <w:pPr>
              <w:pStyle w:val="TableContents"/>
              <w:bidi w:val="0"/>
              <w:spacing w:before="0" w:after="283"/>
              <w:jc w:val="left"/>
              <w:rPr/>
            </w:pPr>
            <w:r>
              <w:rPr>
                <w:rStyle w:val="StrongEmphasis"/>
              </w:rPr>
              <w:t>Net Revenue by Operating Segment</w:t>
            </w:r>
          </w:p>
        </w:tc>
        <w:tc>
          <w:tcPr>
            <w:tcW w:w="2282" w:type="dxa"/>
            <w:gridSpan w:val="3"/>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1" w:type="dxa"/>
            <w:gridSpan w:val="3"/>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left"/>
              <w:rPr/>
            </w:pPr>
            <w:r>
              <w:rPr/>
              <w:t> </w:t>
            </w:r>
          </w:p>
        </w:tc>
      </w:tr>
      <w:tr>
        <w:trPr/>
        <w:tc>
          <w:tcPr>
            <w:tcW w:w="2809" w:type="dxa"/>
            <w:tcBorders/>
            <w:vAlign w:val="center"/>
          </w:tcPr>
          <w:p>
            <w:pPr>
              <w:pStyle w:val="TableContents"/>
              <w:bidi w:val="0"/>
              <w:spacing w:before="0" w:after="283"/>
              <w:jc w:val="right"/>
              <w:rPr/>
            </w:pPr>
            <w:r>
              <w:rPr/>
              <w:t> </w:t>
            </w:r>
          </w:p>
        </w:tc>
        <w:tc>
          <w:tcPr>
            <w:tcW w:w="3599" w:type="dxa"/>
            <w:gridSpan w:val="5"/>
            <w:tcBorders/>
            <w:vAlign w:val="center"/>
          </w:tcPr>
          <w:p>
            <w:pPr>
              <w:pStyle w:val="TableContents"/>
              <w:bidi w:val="0"/>
              <w:spacing w:before="0" w:after="283"/>
              <w:jc w:val="center"/>
              <w:rPr/>
            </w:pPr>
            <w:r>
              <w:rPr>
                <w:rStyle w:val="StrongEmphasis"/>
              </w:rPr>
              <w:t>For the three months ended</w:t>
            </w:r>
          </w:p>
        </w:tc>
        <w:tc>
          <w:tcPr>
            <w:tcW w:w="146" w:type="dxa"/>
            <w:tcBorders/>
            <w:vAlign w:val="center"/>
          </w:tcPr>
          <w:p>
            <w:pPr>
              <w:pStyle w:val="TableContents"/>
              <w:bidi w:val="0"/>
              <w:spacing w:before="0" w:after="283"/>
              <w:jc w:val="right"/>
              <w:rPr/>
            </w:pPr>
            <w:r>
              <w:rPr/>
              <w:t> </w:t>
            </w:r>
          </w:p>
        </w:tc>
        <w:tc>
          <w:tcPr>
            <w:tcW w:w="3651" w:type="dxa"/>
            <w:gridSpan w:val="5"/>
            <w:tcBorders/>
            <w:vAlign w:val="center"/>
          </w:tcPr>
          <w:p>
            <w:pPr>
              <w:pStyle w:val="TableContents"/>
              <w:bidi w:val="0"/>
              <w:spacing w:before="0" w:after="283"/>
              <w:jc w:val="center"/>
              <w:rPr/>
            </w:pPr>
            <w:r>
              <w:rPr>
                <w:rStyle w:val="StrongEmphasis"/>
              </w:rPr>
              <w:t>For the three months ended</w:t>
            </w:r>
          </w:p>
        </w:tc>
      </w:tr>
      <w:tr>
        <w:trPr/>
        <w:tc>
          <w:tcPr>
            <w:tcW w:w="2809" w:type="dxa"/>
            <w:tcBorders/>
            <w:vAlign w:val="center"/>
          </w:tcPr>
          <w:p>
            <w:pPr>
              <w:pStyle w:val="TableContents"/>
              <w:bidi w:val="0"/>
              <w:spacing w:before="0" w:after="283"/>
              <w:jc w:val="left"/>
              <w:rPr/>
            </w:pPr>
            <w:r>
              <w:rPr>
                <w:rStyle w:val="StrongEmphasis"/>
              </w:rPr>
              <w:t>(In thousands of U.S. dollars)</w:t>
            </w:r>
          </w:p>
        </w:tc>
        <w:tc>
          <w:tcPr>
            <w:tcW w:w="228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31, 2026</w:t>
            </w:r>
          </w:p>
        </w:tc>
        <w:tc>
          <w:tcPr>
            <w:tcW w:w="151" w:type="dxa"/>
            <w:tcBorders/>
            <w:vAlign w:val="center"/>
          </w:tcPr>
          <w:p>
            <w:pPr>
              <w:pStyle w:val="TableContents"/>
              <w:bidi w:val="0"/>
              <w:spacing w:before="0" w:after="283"/>
              <w:jc w:val="center"/>
              <w:rPr/>
            </w:pPr>
            <w:r>
              <w:rPr/>
              <w:t> </w:t>
            </w:r>
          </w:p>
        </w:tc>
        <w:tc>
          <w:tcPr>
            <w:tcW w:w="11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xml:space="preserve">% of Total </w:t>
              <w:br/>
              <w:t>Revenue</w:t>
            </w:r>
          </w:p>
        </w:tc>
        <w:tc>
          <w:tcPr>
            <w:tcW w:w="146" w:type="dxa"/>
            <w:tcBorders/>
            <w:vAlign w:val="center"/>
          </w:tcPr>
          <w:p>
            <w:pPr>
              <w:pStyle w:val="TableContents"/>
              <w:bidi w:val="0"/>
              <w:spacing w:before="0" w:after="283"/>
              <w:jc w:val="center"/>
              <w:rPr/>
            </w:pPr>
            <w:r>
              <w:rPr/>
              <w:t> </w:t>
            </w:r>
          </w:p>
        </w:tc>
        <w:tc>
          <w:tcPr>
            <w:tcW w:w="2281"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31, 2025</w:t>
            </w:r>
          </w:p>
        </w:tc>
        <w:tc>
          <w:tcPr>
            <w:tcW w:w="151" w:type="dxa"/>
            <w:tcBorders/>
            <w:vAlign w:val="center"/>
          </w:tcPr>
          <w:p>
            <w:pPr>
              <w:pStyle w:val="TableContents"/>
              <w:bidi w:val="0"/>
              <w:spacing w:before="0" w:after="283"/>
              <w:jc w:val="center"/>
              <w:rPr/>
            </w:pPr>
            <w:r>
              <w:rPr/>
              <w:t> </w:t>
            </w:r>
          </w:p>
        </w:tc>
        <w:tc>
          <w:tcPr>
            <w:tcW w:w="121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xml:space="preserve">% of Total </w:t>
              <w:br/>
              <w:t>Revenue</w:t>
            </w:r>
          </w:p>
        </w:tc>
      </w:tr>
      <w:tr>
        <w:trPr/>
        <w:tc>
          <w:tcPr>
            <w:tcW w:w="2809" w:type="dxa"/>
            <w:tcBorders/>
            <w:vAlign w:val="center"/>
          </w:tcPr>
          <w:p>
            <w:pPr>
              <w:pStyle w:val="TableContents"/>
              <w:bidi w:val="0"/>
              <w:spacing w:before="0" w:after="283"/>
              <w:jc w:val="left"/>
              <w:rPr/>
            </w:pPr>
            <w:r>
              <w:rPr/>
              <w:t>Beverage business</w:t>
            </w:r>
          </w:p>
        </w:tc>
        <w:tc>
          <w:tcPr>
            <w:tcW w:w="398" w:type="dxa"/>
            <w:tcBorders/>
            <w:vAlign w:val="center"/>
          </w:tcPr>
          <w:p>
            <w:pPr>
              <w:pStyle w:val="TableContents"/>
              <w:bidi w:val="0"/>
              <w:spacing w:before="0" w:after="283"/>
              <w:jc w:val="right"/>
              <w:rPr/>
            </w:pPr>
            <w:r>
              <w:rPr/>
              <w:t>$</w:t>
            </w:r>
          </w:p>
        </w:tc>
        <w:tc>
          <w:tcPr>
            <w:tcW w:w="1566" w:type="dxa"/>
            <w:tcBorders/>
            <w:vAlign w:val="center"/>
          </w:tcPr>
          <w:p>
            <w:pPr>
              <w:pStyle w:val="TableContents"/>
              <w:bidi w:val="0"/>
              <w:spacing w:before="0" w:after="283"/>
              <w:jc w:val="right"/>
              <w:rPr/>
            </w:pPr>
            <w:r>
              <w:rPr/>
              <w:t>101,496</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39%</w:t>
            </w:r>
          </w:p>
        </w:tc>
        <w:tc>
          <w:tcPr>
            <w:tcW w:w="146"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w:t>
            </w:r>
          </w:p>
        </w:tc>
        <w:tc>
          <w:tcPr>
            <w:tcW w:w="1565" w:type="dxa"/>
            <w:tcBorders/>
            <w:vAlign w:val="center"/>
          </w:tcPr>
          <w:p>
            <w:pPr>
              <w:pStyle w:val="TableContents"/>
              <w:bidi w:val="0"/>
              <w:spacing w:before="0" w:after="283"/>
              <w:jc w:val="right"/>
              <w:rPr/>
            </w:pPr>
            <w:r>
              <w:rPr/>
              <w:t>55,739</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27%</w:t>
            </w:r>
          </w:p>
        </w:tc>
      </w:tr>
      <w:tr>
        <w:trPr/>
        <w:tc>
          <w:tcPr>
            <w:tcW w:w="2809" w:type="dxa"/>
            <w:tcBorders/>
            <w:vAlign w:val="center"/>
          </w:tcPr>
          <w:p>
            <w:pPr>
              <w:pStyle w:val="TableContents"/>
              <w:bidi w:val="0"/>
              <w:spacing w:before="0" w:after="283"/>
              <w:jc w:val="left"/>
              <w:rPr/>
            </w:pPr>
            <w:r>
              <w:rPr/>
              <w:t>Cannabis business</w:t>
            </w:r>
          </w:p>
        </w:tc>
        <w:tc>
          <w:tcPr>
            <w:tcW w:w="398" w:type="dxa"/>
            <w:tcBorders/>
            <w:vAlign w:val="center"/>
          </w:tcPr>
          <w:p>
            <w:pPr>
              <w:pStyle w:val="TableContents"/>
              <w:bidi w:val="0"/>
              <w:spacing w:before="0" w:after="283"/>
              <w:jc w:val="right"/>
              <w:rPr/>
            </w:pPr>
            <w:r>
              <w:rPr/>
              <w:t> </w:t>
            </w:r>
          </w:p>
        </w:tc>
        <w:tc>
          <w:tcPr>
            <w:tcW w:w="1566" w:type="dxa"/>
            <w:tcBorders/>
            <w:vAlign w:val="center"/>
          </w:tcPr>
          <w:p>
            <w:pPr>
              <w:pStyle w:val="TableContents"/>
              <w:bidi w:val="0"/>
              <w:spacing w:before="0" w:after="283"/>
              <w:jc w:val="right"/>
              <w:rPr/>
            </w:pPr>
            <w:r>
              <w:rPr/>
              <w:t>56,109</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22%</w:t>
            </w:r>
          </w:p>
        </w:tc>
        <w:tc>
          <w:tcPr>
            <w:tcW w:w="146"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1565" w:type="dxa"/>
            <w:tcBorders/>
            <w:vAlign w:val="center"/>
          </w:tcPr>
          <w:p>
            <w:pPr>
              <w:pStyle w:val="TableContents"/>
              <w:bidi w:val="0"/>
              <w:spacing w:before="0" w:after="283"/>
              <w:jc w:val="right"/>
              <w:rPr/>
            </w:pPr>
            <w:r>
              <w:rPr/>
              <w:t>64,511</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31%</w:t>
            </w:r>
          </w:p>
        </w:tc>
      </w:tr>
      <w:tr>
        <w:trPr/>
        <w:tc>
          <w:tcPr>
            <w:tcW w:w="2809" w:type="dxa"/>
            <w:tcBorders/>
            <w:vAlign w:val="center"/>
          </w:tcPr>
          <w:p>
            <w:pPr>
              <w:pStyle w:val="TableContents"/>
              <w:bidi w:val="0"/>
              <w:spacing w:before="0" w:after="283"/>
              <w:jc w:val="left"/>
              <w:rPr/>
            </w:pPr>
            <w:r>
              <w:rPr/>
              <w:t>Distribution business</w:t>
            </w:r>
          </w:p>
        </w:tc>
        <w:tc>
          <w:tcPr>
            <w:tcW w:w="398" w:type="dxa"/>
            <w:tcBorders/>
            <w:vAlign w:val="center"/>
          </w:tcPr>
          <w:p>
            <w:pPr>
              <w:pStyle w:val="TableContents"/>
              <w:bidi w:val="0"/>
              <w:spacing w:before="0" w:after="283"/>
              <w:jc w:val="right"/>
              <w:rPr/>
            </w:pPr>
            <w:r>
              <w:rPr/>
              <w:t> </w:t>
            </w:r>
          </w:p>
        </w:tc>
        <w:tc>
          <w:tcPr>
            <w:tcW w:w="1566" w:type="dxa"/>
            <w:tcBorders/>
            <w:vAlign w:val="center"/>
          </w:tcPr>
          <w:p>
            <w:pPr>
              <w:pStyle w:val="TableContents"/>
              <w:bidi w:val="0"/>
              <w:spacing w:before="0" w:after="283"/>
              <w:jc w:val="right"/>
              <w:rPr/>
            </w:pPr>
            <w:r>
              <w:rPr/>
              <w:t>84,266</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33%</w:t>
            </w:r>
          </w:p>
        </w:tc>
        <w:tc>
          <w:tcPr>
            <w:tcW w:w="146"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1565" w:type="dxa"/>
            <w:tcBorders/>
            <w:vAlign w:val="center"/>
          </w:tcPr>
          <w:p>
            <w:pPr>
              <w:pStyle w:val="TableContents"/>
              <w:bidi w:val="0"/>
              <w:spacing w:before="0" w:after="283"/>
              <w:jc w:val="right"/>
              <w:rPr/>
            </w:pPr>
            <w:r>
              <w:rPr/>
              <w:t>74,007</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35%</w:t>
            </w:r>
          </w:p>
        </w:tc>
      </w:tr>
      <w:tr>
        <w:trPr/>
        <w:tc>
          <w:tcPr>
            <w:tcW w:w="2809" w:type="dxa"/>
            <w:tcBorders/>
            <w:vAlign w:val="center"/>
          </w:tcPr>
          <w:p>
            <w:pPr>
              <w:pStyle w:val="TableContents"/>
              <w:bidi w:val="0"/>
              <w:spacing w:before="0" w:after="283"/>
              <w:jc w:val="left"/>
              <w:rPr/>
            </w:pPr>
            <w:r>
              <w:rPr/>
              <w:t>Wellness business</w:t>
            </w:r>
          </w:p>
        </w:tc>
        <w:tc>
          <w:tcPr>
            <w:tcW w:w="398" w:type="dxa"/>
            <w:tcBorders/>
            <w:vAlign w:val="center"/>
          </w:tcPr>
          <w:p>
            <w:pPr>
              <w:pStyle w:val="TableContents"/>
              <w:bidi w:val="0"/>
              <w:spacing w:before="0" w:after="283"/>
              <w:jc w:val="right"/>
              <w:rPr/>
            </w:pPr>
            <w:r>
              <w:rPr/>
              <w:t> </w:t>
            </w:r>
          </w:p>
        </w:tc>
        <w:tc>
          <w:tcPr>
            <w:tcW w:w="1566" w:type="dxa"/>
            <w:tcBorders/>
            <w:vAlign w:val="center"/>
          </w:tcPr>
          <w:p>
            <w:pPr>
              <w:pStyle w:val="TableContents"/>
              <w:bidi w:val="0"/>
              <w:spacing w:before="0" w:after="283"/>
              <w:jc w:val="right"/>
              <w:rPr/>
            </w:pPr>
            <w:r>
              <w:rPr/>
              <w:t>15,276</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6%</w:t>
            </w:r>
          </w:p>
        </w:tc>
        <w:tc>
          <w:tcPr>
            <w:tcW w:w="146"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1565" w:type="dxa"/>
            <w:tcBorders/>
            <w:vAlign w:val="center"/>
          </w:tcPr>
          <w:p>
            <w:pPr>
              <w:pStyle w:val="TableContents"/>
              <w:bidi w:val="0"/>
              <w:spacing w:before="0" w:after="283"/>
              <w:jc w:val="right"/>
              <w:rPr/>
            </w:pPr>
            <w:r>
              <w:rPr/>
              <w:t>15,244</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7%</w:t>
            </w:r>
          </w:p>
        </w:tc>
      </w:tr>
      <w:tr>
        <w:trPr/>
        <w:tc>
          <w:tcPr>
            <w:tcW w:w="2809" w:type="dxa"/>
            <w:tcBorders/>
            <w:vAlign w:val="center"/>
          </w:tcPr>
          <w:p>
            <w:pPr>
              <w:pStyle w:val="TableContents"/>
              <w:bidi w:val="0"/>
              <w:spacing w:before="0" w:after="283"/>
              <w:jc w:val="left"/>
              <w:rPr/>
            </w:pPr>
            <w:r>
              <w:rPr/>
              <w:t>Total net revenue</w:t>
            </w:r>
          </w:p>
        </w:tc>
        <w:tc>
          <w:tcPr>
            <w:tcW w:w="39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5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257,147</w:t>
            </w:r>
          </w:p>
        </w:tc>
        <w:tc>
          <w:tcPr>
            <w:tcW w:w="3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center"/>
              <w:rPr/>
            </w:pPr>
            <w:r>
              <w:rPr/>
              <w:t>100%</w:t>
            </w:r>
          </w:p>
        </w:tc>
        <w:tc>
          <w:tcPr>
            <w:tcW w:w="146" w:type="dxa"/>
            <w:tcBorders/>
            <w:vAlign w:val="center"/>
          </w:tcPr>
          <w:p>
            <w:pPr>
              <w:pStyle w:val="TableContents"/>
              <w:bidi w:val="0"/>
              <w:spacing w:before="0" w:after="283"/>
              <w:jc w:val="left"/>
              <w:rPr/>
            </w:pPr>
            <w:r>
              <w:rPr/>
              <w:t> </w:t>
            </w:r>
          </w:p>
        </w:tc>
        <w:tc>
          <w:tcPr>
            <w:tcW w:w="39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56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209,501</w:t>
            </w:r>
          </w:p>
        </w:tc>
        <w:tc>
          <w:tcPr>
            <w:tcW w:w="3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center"/>
              <w:rPr/>
            </w:pPr>
            <w:r>
              <w:rPr/>
              <w:t>100%</w:t>
            </w:r>
          </w:p>
        </w:tc>
      </w:tr>
      <w:tr>
        <w:trPr/>
        <w:tc>
          <w:tcPr>
            <w:tcW w:w="2809" w:type="dxa"/>
            <w:tcBorders/>
            <w:vAlign w:val="center"/>
          </w:tcPr>
          <w:p>
            <w:pPr>
              <w:pStyle w:val="TableContents"/>
              <w:bidi w:val="0"/>
              <w:spacing w:before="0" w:after="283"/>
              <w:jc w:val="right"/>
              <w:rPr/>
            </w:pPr>
            <w:r>
              <w:rPr/>
              <w:t> </w:t>
            </w:r>
          </w:p>
        </w:tc>
        <w:tc>
          <w:tcPr>
            <w:tcW w:w="2282" w:type="dxa"/>
            <w:gridSpan w:val="3"/>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81" w:type="dxa"/>
            <w:gridSpan w:val="3"/>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right"/>
              <w:rPr/>
            </w:pPr>
            <w:r>
              <w:rPr/>
              <w:t> </w:t>
            </w:r>
          </w:p>
        </w:tc>
      </w:tr>
      <w:tr>
        <w:trPr/>
        <w:tc>
          <w:tcPr>
            <w:tcW w:w="2809" w:type="dxa"/>
            <w:tcBorders/>
            <w:vAlign w:val="center"/>
          </w:tcPr>
          <w:p>
            <w:pPr>
              <w:pStyle w:val="TableContents"/>
              <w:bidi w:val="0"/>
              <w:spacing w:before="0" w:after="283"/>
              <w:jc w:val="right"/>
              <w:rPr/>
            </w:pPr>
            <w:r>
              <w:rPr/>
              <w:t> </w:t>
            </w:r>
          </w:p>
        </w:tc>
        <w:tc>
          <w:tcPr>
            <w:tcW w:w="2282" w:type="dxa"/>
            <w:gridSpan w:val="3"/>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281" w:type="dxa"/>
            <w:gridSpan w:val="3"/>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 </w:t>
            </w:r>
          </w:p>
        </w:tc>
      </w:tr>
      <w:tr>
        <w:trPr/>
        <w:tc>
          <w:tcPr>
            <w:tcW w:w="5091" w:type="dxa"/>
            <w:gridSpan w:val="4"/>
            <w:tcBorders/>
            <w:vAlign w:val="center"/>
          </w:tcPr>
          <w:p>
            <w:pPr>
              <w:pStyle w:val="TableContents"/>
              <w:bidi w:val="0"/>
              <w:spacing w:before="0" w:after="283"/>
              <w:jc w:val="left"/>
              <w:rPr/>
            </w:pPr>
            <w:r>
              <w:rPr>
                <w:rStyle w:val="StrongEmphasis"/>
              </w:rPr>
              <w:t>Net Revenue by Operating Segment in Constant Currency</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281" w:type="dxa"/>
            <w:gridSpan w:val="3"/>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 </w:t>
            </w:r>
          </w:p>
        </w:tc>
      </w:tr>
      <w:tr>
        <w:trPr/>
        <w:tc>
          <w:tcPr>
            <w:tcW w:w="2809" w:type="dxa"/>
            <w:tcBorders/>
            <w:vAlign w:val="center"/>
          </w:tcPr>
          <w:p>
            <w:pPr>
              <w:pStyle w:val="TableContents"/>
              <w:bidi w:val="0"/>
              <w:spacing w:before="0" w:after="283"/>
              <w:jc w:val="right"/>
              <w:rPr/>
            </w:pPr>
            <w:r>
              <w:rPr/>
              <w:t> </w:t>
            </w:r>
          </w:p>
        </w:tc>
        <w:tc>
          <w:tcPr>
            <w:tcW w:w="2282" w:type="dxa"/>
            <w:gridSpan w:val="3"/>
            <w:tcBorders/>
            <w:vAlign w:val="center"/>
          </w:tcPr>
          <w:p>
            <w:pPr>
              <w:pStyle w:val="TableContents"/>
              <w:bidi w:val="0"/>
              <w:spacing w:before="0" w:after="283"/>
              <w:jc w:val="center"/>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281" w:type="dxa"/>
            <w:gridSpan w:val="3"/>
            <w:tcBorders/>
            <w:vAlign w:val="center"/>
          </w:tcPr>
          <w:p>
            <w:pPr>
              <w:pStyle w:val="TableContents"/>
              <w:bidi w:val="0"/>
              <w:spacing w:before="0" w:after="283"/>
              <w:jc w:val="center"/>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 </w:t>
            </w:r>
          </w:p>
        </w:tc>
      </w:tr>
      <w:tr>
        <w:trPr/>
        <w:tc>
          <w:tcPr>
            <w:tcW w:w="2809" w:type="dxa"/>
            <w:tcBorders/>
            <w:vAlign w:val="center"/>
          </w:tcPr>
          <w:p>
            <w:pPr>
              <w:pStyle w:val="TableContents"/>
              <w:bidi w:val="0"/>
              <w:spacing w:before="0" w:after="283"/>
              <w:jc w:val="right"/>
              <w:rPr/>
            </w:pPr>
            <w:r>
              <w:rPr/>
              <w:t> </w:t>
            </w:r>
          </w:p>
        </w:tc>
        <w:tc>
          <w:tcPr>
            <w:tcW w:w="3599" w:type="dxa"/>
            <w:gridSpan w:val="5"/>
            <w:tcBorders/>
            <w:vAlign w:val="center"/>
          </w:tcPr>
          <w:p>
            <w:pPr>
              <w:pStyle w:val="TableContents"/>
              <w:bidi w:val="0"/>
              <w:spacing w:before="0" w:after="283"/>
              <w:jc w:val="center"/>
              <w:rPr/>
            </w:pPr>
            <w:r>
              <w:rPr>
                <w:rStyle w:val="StrongEmphasis"/>
              </w:rPr>
              <w:t>For the three months ended</w:t>
            </w:r>
          </w:p>
        </w:tc>
        <w:tc>
          <w:tcPr>
            <w:tcW w:w="146" w:type="dxa"/>
            <w:tcBorders/>
            <w:vAlign w:val="center"/>
          </w:tcPr>
          <w:p>
            <w:pPr>
              <w:pStyle w:val="TableContents"/>
              <w:bidi w:val="0"/>
              <w:spacing w:before="0" w:after="283"/>
              <w:jc w:val="right"/>
              <w:rPr/>
            </w:pPr>
            <w:r>
              <w:rPr/>
              <w:t> </w:t>
            </w:r>
          </w:p>
        </w:tc>
        <w:tc>
          <w:tcPr>
            <w:tcW w:w="3651" w:type="dxa"/>
            <w:gridSpan w:val="5"/>
            <w:tcBorders/>
            <w:vAlign w:val="center"/>
          </w:tcPr>
          <w:p>
            <w:pPr>
              <w:pStyle w:val="TableContents"/>
              <w:bidi w:val="0"/>
              <w:spacing w:before="0" w:after="283"/>
              <w:jc w:val="center"/>
              <w:rPr/>
            </w:pPr>
            <w:r>
              <w:rPr>
                <w:rStyle w:val="StrongEmphasis"/>
              </w:rPr>
              <w:t>For the three months ended</w:t>
            </w:r>
          </w:p>
        </w:tc>
      </w:tr>
      <w:tr>
        <w:trPr/>
        <w:tc>
          <w:tcPr>
            <w:tcW w:w="2809" w:type="dxa"/>
            <w:tcBorders/>
            <w:vAlign w:val="center"/>
          </w:tcPr>
          <w:p>
            <w:pPr>
              <w:pStyle w:val="TableContents"/>
              <w:bidi w:val="0"/>
              <w:spacing w:before="0" w:after="283"/>
              <w:jc w:val="right"/>
              <w:rPr/>
            </w:pPr>
            <w:r>
              <w:rPr/>
              <w:t> </w:t>
            </w:r>
          </w:p>
        </w:tc>
        <w:tc>
          <w:tcPr>
            <w:tcW w:w="2282" w:type="dxa"/>
            <w:gridSpan w:val="3"/>
            <w:tcBorders/>
            <w:vAlign w:val="center"/>
          </w:tcPr>
          <w:p>
            <w:pPr>
              <w:pStyle w:val="TableContents"/>
              <w:bidi w:val="0"/>
              <w:spacing w:before="0" w:after="283"/>
              <w:jc w:val="center"/>
              <w:rPr/>
            </w:pPr>
            <w:r>
              <w:rPr>
                <w:rStyle w:val="StrongEmphasis"/>
              </w:rPr>
              <w:t>August 31, 2026</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81" w:type="dxa"/>
            <w:gridSpan w:val="3"/>
            <w:tcBorders/>
            <w:vAlign w:val="center"/>
          </w:tcPr>
          <w:p>
            <w:pPr>
              <w:pStyle w:val="TableContents"/>
              <w:bidi w:val="0"/>
              <w:spacing w:before="0" w:after="283"/>
              <w:jc w:val="center"/>
              <w:rPr/>
            </w:pPr>
            <w:r>
              <w:rPr>
                <w:rStyle w:val="StrongEmphasis"/>
              </w:rPr>
              <w:t>August 31, 2025</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 </w:t>
            </w:r>
          </w:p>
        </w:tc>
      </w:tr>
      <w:tr>
        <w:trPr/>
        <w:tc>
          <w:tcPr>
            <w:tcW w:w="2809" w:type="dxa"/>
            <w:tcBorders/>
            <w:vAlign w:val="center"/>
          </w:tcPr>
          <w:p>
            <w:pPr>
              <w:pStyle w:val="TableContents"/>
              <w:bidi w:val="0"/>
              <w:spacing w:before="0" w:after="283"/>
              <w:jc w:val="left"/>
              <w:rPr/>
            </w:pPr>
            <w:r>
              <w:rPr>
                <w:rStyle w:val="StrongEmphasis"/>
              </w:rPr>
              <w:t>(In thousands of U.S. dollars)</w:t>
            </w:r>
          </w:p>
        </w:tc>
        <w:tc>
          <w:tcPr>
            <w:tcW w:w="228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reported in constant currency</w:t>
            </w:r>
          </w:p>
        </w:tc>
        <w:tc>
          <w:tcPr>
            <w:tcW w:w="151" w:type="dxa"/>
            <w:tcBorders/>
            <w:vAlign w:val="center"/>
          </w:tcPr>
          <w:p>
            <w:pPr>
              <w:pStyle w:val="TableContents"/>
              <w:bidi w:val="0"/>
              <w:spacing w:before="0" w:after="283"/>
              <w:jc w:val="center"/>
              <w:rPr/>
            </w:pPr>
            <w:r>
              <w:rPr/>
              <w:t> </w:t>
            </w:r>
          </w:p>
        </w:tc>
        <w:tc>
          <w:tcPr>
            <w:tcW w:w="11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xml:space="preserve">% of Total </w:t>
              <w:br/>
              <w:t>Revenue</w:t>
            </w:r>
          </w:p>
        </w:tc>
        <w:tc>
          <w:tcPr>
            <w:tcW w:w="146" w:type="dxa"/>
            <w:tcBorders/>
            <w:vAlign w:val="center"/>
          </w:tcPr>
          <w:p>
            <w:pPr>
              <w:pStyle w:val="TableContents"/>
              <w:bidi w:val="0"/>
              <w:spacing w:before="0" w:after="283"/>
              <w:jc w:val="center"/>
              <w:rPr/>
            </w:pPr>
            <w:r>
              <w:rPr/>
              <w:t> </w:t>
            </w:r>
          </w:p>
        </w:tc>
        <w:tc>
          <w:tcPr>
            <w:tcW w:w="2281"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reported in constant currency</w:t>
            </w:r>
          </w:p>
        </w:tc>
        <w:tc>
          <w:tcPr>
            <w:tcW w:w="151" w:type="dxa"/>
            <w:tcBorders/>
            <w:vAlign w:val="center"/>
          </w:tcPr>
          <w:p>
            <w:pPr>
              <w:pStyle w:val="TableContents"/>
              <w:bidi w:val="0"/>
              <w:spacing w:before="0" w:after="283"/>
              <w:jc w:val="center"/>
              <w:rPr/>
            </w:pPr>
            <w:r>
              <w:rPr/>
              <w:t> </w:t>
            </w:r>
          </w:p>
        </w:tc>
        <w:tc>
          <w:tcPr>
            <w:tcW w:w="121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xml:space="preserve">% of Total </w:t>
              <w:br/>
              <w:t>Revenue</w:t>
            </w:r>
          </w:p>
        </w:tc>
      </w:tr>
      <w:tr>
        <w:trPr/>
        <w:tc>
          <w:tcPr>
            <w:tcW w:w="2809" w:type="dxa"/>
            <w:tcBorders/>
            <w:vAlign w:val="center"/>
          </w:tcPr>
          <w:p>
            <w:pPr>
              <w:pStyle w:val="TableContents"/>
              <w:bidi w:val="0"/>
              <w:spacing w:before="0" w:after="283"/>
              <w:jc w:val="left"/>
              <w:rPr/>
            </w:pPr>
            <w:r>
              <w:rPr/>
              <w:t>Beverage business</w:t>
            </w:r>
          </w:p>
        </w:tc>
        <w:tc>
          <w:tcPr>
            <w:tcW w:w="398" w:type="dxa"/>
            <w:tcBorders/>
            <w:vAlign w:val="center"/>
          </w:tcPr>
          <w:p>
            <w:pPr>
              <w:pStyle w:val="TableContents"/>
              <w:bidi w:val="0"/>
              <w:spacing w:before="0" w:after="283"/>
              <w:jc w:val="right"/>
              <w:rPr/>
            </w:pPr>
            <w:r>
              <w:rPr/>
              <w:t>$</w:t>
            </w:r>
          </w:p>
        </w:tc>
        <w:tc>
          <w:tcPr>
            <w:tcW w:w="1566" w:type="dxa"/>
            <w:tcBorders/>
            <w:vAlign w:val="center"/>
          </w:tcPr>
          <w:p>
            <w:pPr>
              <w:pStyle w:val="TableContents"/>
              <w:bidi w:val="0"/>
              <w:spacing w:before="0" w:after="283"/>
              <w:jc w:val="right"/>
              <w:rPr/>
            </w:pPr>
            <w:r>
              <w:rPr/>
              <w:t>101,777</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39%</w:t>
            </w:r>
          </w:p>
        </w:tc>
        <w:tc>
          <w:tcPr>
            <w:tcW w:w="146"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w:t>
            </w:r>
          </w:p>
        </w:tc>
        <w:tc>
          <w:tcPr>
            <w:tcW w:w="1565" w:type="dxa"/>
            <w:tcBorders/>
            <w:vAlign w:val="center"/>
          </w:tcPr>
          <w:p>
            <w:pPr>
              <w:pStyle w:val="TableContents"/>
              <w:bidi w:val="0"/>
              <w:spacing w:before="0" w:after="283"/>
              <w:jc w:val="right"/>
              <w:rPr/>
            </w:pPr>
            <w:r>
              <w:rPr/>
              <w:t>55,739</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27%</w:t>
            </w:r>
          </w:p>
        </w:tc>
      </w:tr>
      <w:tr>
        <w:trPr/>
        <w:tc>
          <w:tcPr>
            <w:tcW w:w="2809" w:type="dxa"/>
            <w:tcBorders/>
            <w:vAlign w:val="center"/>
          </w:tcPr>
          <w:p>
            <w:pPr>
              <w:pStyle w:val="TableContents"/>
              <w:bidi w:val="0"/>
              <w:spacing w:before="0" w:after="283"/>
              <w:jc w:val="left"/>
              <w:rPr/>
            </w:pPr>
            <w:r>
              <w:rPr/>
              <w:t>Cannabis business</w:t>
            </w:r>
          </w:p>
        </w:tc>
        <w:tc>
          <w:tcPr>
            <w:tcW w:w="398" w:type="dxa"/>
            <w:tcBorders/>
            <w:vAlign w:val="center"/>
          </w:tcPr>
          <w:p>
            <w:pPr>
              <w:pStyle w:val="TableContents"/>
              <w:bidi w:val="0"/>
              <w:spacing w:before="0" w:after="283"/>
              <w:jc w:val="right"/>
              <w:rPr/>
            </w:pPr>
            <w:r>
              <w:rPr/>
              <w:t> </w:t>
            </w:r>
          </w:p>
        </w:tc>
        <w:tc>
          <w:tcPr>
            <w:tcW w:w="1566" w:type="dxa"/>
            <w:tcBorders/>
            <w:vAlign w:val="center"/>
          </w:tcPr>
          <w:p>
            <w:pPr>
              <w:pStyle w:val="TableContents"/>
              <w:bidi w:val="0"/>
              <w:spacing w:before="0" w:after="283"/>
              <w:jc w:val="right"/>
              <w:rPr/>
            </w:pPr>
            <w:r>
              <w:rPr/>
              <w:t>56,873</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22%</w:t>
            </w:r>
          </w:p>
        </w:tc>
        <w:tc>
          <w:tcPr>
            <w:tcW w:w="146"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1565" w:type="dxa"/>
            <w:tcBorders/>
            <w:vAlign w:val="center"/>
          </w:tcPr>
          <w:p>
            <w:pPr>
              <w:pStyle w:val="TableContents"/>
              <w:bidi w:val="0"/>
              <w:spacing w:before="0" w:after="283"/>
              <w:jc w:val="right"/>
              <w:rPr/>
            </w:pPr>
            <w:r>
              <w:rPr/>
              <w:t>64,511</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31%</w:t>
            </w:r>
          </w:p>
        </w:tc>
      </w:tr>
      <w:tr>
        <w:trPr/>
        <w:tc>
          <w:tcPr>
            <w:tcW w:w="2809" w:type="dxa"/>
            <w:tcBorders/>
            <w:vAlign w:val="center"/>
          </w:tcPr>
          <w:p>
            <w:pPr>
              <w:pStyle w:val="TableContents"/>
              <w:bidi w:val="0"/>
              <w:spacing w:before="0" w:after="283"/>
              <w:jc w:val="left"/>
              <w:rPr/>
            </w:pPr>
            <w:r>
              <w:rPr/>
              <w:t>Distribution business</w:t>
            </w:r>
          </w:p>
        </w:tc>
        <w:tc>
          <w:tcPr>
            <w:tcW w:w="398" w:type="dxa"/>
            <w:tcBorders/>
            <w:vAlign w:val="center"/>
          </w:tcPr>
          <w:p>
            <w:pPr>
              <w:pStyle w:val="TableContents"/>
              <w:bidi w:val="0"/>
              <w:spacing w:before="0" w:after="283"/>
              <w:jc w:val="right"/>
              <w:rPr/>
            </w:pPr>
            <w:r>
              <w:rPr/>
              <w:t> </w:t>
            </w:r>
          </w:p>
        </w:tc>
        <w:tc>
          <w:tcPr>
            <w:tcW w:w="1566" w:type="dxa"/>
            <w:tcBorders/>
            <w:vAlign w:val="center"/>
          </w:tcPr>
          <w:p>
            <w:pPr>
              <w:pStyle w:val="TableContents"/>
              <w:bidi w:val="0"/>
              <w:spacing w:before="0" w:after="283"/>
              <w:jc w:val="right"/>
              <w:rPr/>
            </w:pPr>
            <w:r>
              <w:rPr/>
              <w:t>85,188</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33%</w:t>
            </w:r>
          </w:p>
        </w:tc>
        <w:tc>
          <w:tcPr>
            <w:tcW w:w="146"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1565" w:type="dxa"/>
            <w:tcBorders/>
            <w:vAlign w:val="center"/>
          </w:tcPr>
          <w:p>
            <w:pPr>
              <w:pStyle w:val="TableContents"/>
              <w:bidi w:val="0"/>
              <w:spacing w:before="0" w:after="283"/>
              <w:jc w:val="right"/>
              <w:rPr/>
            </w:pPr>
            <w:r>
              <w:rPr/>
              <w:t>74,007</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35%</w:t>
            </w:r>
          </w:p>
        </w:tc>
      </w:tr>
      <w:tr>
        <w:trPr/>
        <w:tc>
          <w:tcPr>
            <w:tcW w:w="2809" w:type="dxa"/>
            <w:tcBorders/>
            <w:vAlign w:val="center"/>
          </w:tcPr>
          <w:p>
            <w:pPr>
              <w:pStyle w:val="TableContents"/>
              <w:bidi w:val="0"/>
              <w:spacing w:before="0" w:after="283"/>
              <w:jc w:val="left"/>
              <w:rPr/>
            </w:pPr>
            <w:r>
              <w:rPr/>
              <w:t>Wellness business</w:t>
            </w:r>
          </w:p>
        </w:tc>
        <w:tc>
          <w:tcPr>
            <w:tcW w:w="398" w:type="dxa"/>
            <w:tcBorders/>
            <w:vAlign w:val="center"/>
          </w:tcPr>
          <w:p>
            <w:pPr>
              <w:pStyle w:val="TableContents"/>
              <w:bidi w:val="0"/>
              <w:spacing w:before="0" w:after="283"/>
              <w:jc w:val="right"/>
              <w:rPr/>
            </w:pPr>
            <w:r>
              <w:rPr/>
              <w:t> </w:t>
            </w:r>
          </w:p>
        </w:tc>
        <w:tc>
          <w:tcPr>
            <w:tcW w:w="1566" w:type="dxa"/>
            <w:tcBorders/>
            <w:vAlign w:val="center"/>
          </w:tcPr>
          <w:p>
            <w:pPr>
              <w:pStyle w:val="TableContents"/>
              <w:bidi w:val="0"/>
              <w:spacing w:before="0" w:after="283"/>
              <w:jc w:val="right"/>
              <w:rPr/>
            </w:pPr>
            <w:r>
              <w:rPr/>
              <w:t>15,433</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6%</w:t>
            </w:r>
          </w:p>
        </w:tc>
        <w:tc>
          <w:tcPr>
            <w:tcW w:w="146"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1565" w:type="dxa"/>
            <w:tcBorders/>
            <w:vAlign w:val="center"/>
          </w:tcPr>
          <w:p>
            <w:pPr>
              <w:pStyle w:val="TableContents"/>
              <w:bidi w:val="0"/>
              <w:spacing w:before="0" w:after="283"/>
              <w:jc w:val="right"/>
              <w:rPr/>
            </w:pPr>
            <w:r>
              <w:rPr/>
              <w:t>15,244</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7%</w:t>
            </w:r>
          </w:p>
        </w:tc>
      </w:tr>
      <w:tr>
        <w:trPr/>
        <w:tc>
          <w:tcPr>
            <w:tcW w:w="2809" w:type="dxa"/>
            <w:tcBorders/>
            <w:vAlign w:val="center"/>
          </w:tcPr>
          <w:p>
            <w:pPr>
              <w:pStyle w:val="TableContents"/>
              <w:bidi w:val="0"/>
              <w:spacing w:before="0" w:after="283"/>
              <w:jc w:val="left"/>
              <w:rPr/>
            </w:pPr>
            <w:r>
              <w:rPr/>
              <w:t>Total net revenue</w:t>
            </w:r>
          </w:p>
        </w:tc>
        <w:tc>
          <w:tcPr>
            <w:tcW w:w="39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5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259,271</w:t>
            </w:r>
          </w:p>
        </w:tc>
        <w:tc>
          <w:tcPr>
            <w:tcW w:w="3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center"/>
              <w:rPr/>
            </w:pPr>
            <w:r>
              <w:rPr/>
              <w:t>100%</w:t>
            </w:r>
          </w:p>
        </w:tc>
        <w:tc>
          <w:tcPr>
            <w:tcW w:w="146" w:type="dxa"/>
            <w:tcBorders/>
            <w:vAlign w:val="center"/>
          </w:tcPr>
          <w:p>
            <w:pPr>
              <w:pStyle w:val="TableContents"/>
              <w:bidi w:val="0"/>
              <w:spacing w:before="0" w:after="283"/>
              <w:jc w:val="left"/>
              <w:rPr/>
            </w:pPr>
            <w:r>
              <w:rPr/>
              <w:t> </w:t>
            </w:r>
          </w:p>
        </w:tc>
        <w:tc>
          <w:tcPr>
            <w:tcW w:w="39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56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209,501</w:t>
            </w:r>
          </w:p>
        </w:tc>
        <w:tc>
          <w:tcPr>
            <w:tcW w:w="3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center"/>
              <w:rPr/>
            </w:pPr>
            <w:r>
              <w:rPr/>
              <w:t>100%</w:t>
            </w:r>
          </w:p>
        </w:tc>
      </w:tr>
      <w:tr>
        <w:trPr/>
        <w:tc>
          <w:tcPr>
            <w:tcW w:w="2809" w:type="dxa"/>
            <w:tcBorders/>
            <w:vAlign w:val="center"/>
          </w:tcPr>
          <w:p>
            <w:pPr>
              <w:pStyle w:val="TableContents"/>
              <w:bidi w:val="0"/>
              <w:spacing w:before="0" w:after="283"/>
              <w:jc w:val="right"/>
              <w:rPr/>
            </w:pPr>
            <w:r>
              <w:rPr/>
              <w:t> </w:t>
            </w:r>
          </w:p>
        </w:tc>
        <w:tc>
          <w:tcPr>
            <w:tcW w:w="2282" w:type="dxa"/>
            <w:gridSpan w:val="3"/>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81" w:type="dxa"/>
            <w:gridSpan w:val="3"/>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right"/>
              <w:rPr/>
            </w:pPr>
            <w:r>
              <w:rPr/>
              <w:t> </w:t>
            </w:r>
          </w:p>
        </w:tc>
      </w:tr>
      <w:tr>
        <w:trPr/>
        <w:tc>
          <w:tcPr>
            <w:tcW w:w="2809" w:type="dxa"/>
            <w:tcBorders/>
            <w:vAlign w:val="center"/>
          </w:tcPr>
          <w:p>
            <w:pPr>
              <w:pStyle w:val="TableContents"/>
              <w:bidi w:val="0"/>
              <w:spacing w:before="0" w:after="283"/>
              <w:jc w:val="right"/>
              <w:rPr/>
            </w:pPr>
            <w:r>
              <w:rPr/>
              <w:t> </w:t>
            </w:r>
          </w:p>
        </w:tc>
        <w:tc>
          <w:tcPr>
            <w:tcW w:w="2282" w:type="dxa"/>
            <w:gridSpan w:val="3"/>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1" w:type="dxa"/>
            <w:gridSpan w:val="3"/>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left"/>
              <w:rPr/>
            </w:pPr>
            <w:r>
              <w:rPr/>
              <w:t> </w:t>
            </w:r>
          </w:p>
        </w:tc>
      </w:tr>
      <w:tr>
        <w:trPr/>
        <w:tc>
          <w:tcPr>
            <w:tcW w:w="2809" w:type="dxa"/>
            <w:tcBorders/>
            <w:vAlign w:val="center"/>
          </w:tcPr>
          <w:p>
            <w:pPr>
              <w:pStyle w:val="TableContents"/>
              <w:bidi w:val="0"/>
              <w:spacing w:before="0" w:after="283"/>
              <w:jc w:val="left"/>
              <w:rPr/>
            </w:pPr>
            <w:r>
              <w:rPr>
                <w:rStyle w:val="StrongEmphasis"/>
              </w:rPr>
              <w:t>Net Cannabis Revenue by Market Channel</w:t>
            </w:r>
          </w:p>
        </w:tc>
        <w:tc>
          <w:tcPr>
            <w:tcW w:w="2282" w:type="dxa"/>
            <w:gridSpan w:val="3"/>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1" w:type="dxa"/>
            <w:gridSpan w:val="3"/>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left"/>
              <w:rPr/>
            </w:pPr>
            <w:r>
              <w:rPr/>
              <w:t> </w:t>
            </w:r>
          </w:p>
        </w:tc>
      </w:tr>
      <w:tr>
        <w:trPr/>
        <w:tc>
          <w:tcPr>
            <w:tcW w:w="2809" w:type="dxa"/>
            <w:tcBorders/>
            <w:vAlign w:val="center"/>
          </w:tcPr>
          <w:p>
            <w:pPr>
              <w:pStyle w:val="TableContents"/>
              <w:bidi w:val="0"/>
              <w:spacing w:before="0" w:after="283"/>
              <w:jc w:val="right"/>
              <w:rPr/>
            </w:pPr>
            <w:r>
              <w:rPr/>
              <w:t> </w:t>
            </w:r>
          </w:p>
        </w:tc>
        <w:tc>
          <w:tcPr>
            <w:tcW w:w="3599" w:type="dxa"/>
            <w:gridSpan w:val="5"/>
            <w:tcBorders/>
            <w:vAlign w:val="center"/>
          </w:tcPr>
          <w:p>
            <w:pPr>
              <w:pStyle w:val="TableContents"/>
              <w:bidi w:val="0"/>
              <w:spacing w:before="0" w:after="283"/>
              <w:jc w:val="center"/>
              <w:rPr/>
            </w:pPr>
            <w:r>
              <w:rPr>
                <w:rStyle w:val="StrongEmphasis"/>
              </w:rPr>
              <w:t>For the three months ended</w:t>
            </w:r>
          </w:p>
        </w:tc>
        <w:tc>
          <w:tcPr>
            <w:tcW w:w="146" w:type="dxa"/>
            <w:tcBorders/>
            <w:vAlign w:val="center"/>
          </w:tcPr>
          <w:p>
            <w:pPr>
              <w:pStyle w:val="TableContents"/>
              <w:bidi w:val="0"/>
              <w:spacing w:before="0" w:after="283"/>
              <w:jc w:val="right"/>
              <w:rPr/>
            </w:pPr>
            <w:r>
              <w:rPr/>
              <w:t> </w:t>
            </w:r>
          </w:p>
        </w:tc>
        <w:tc>
          <w:tcPr>
            <w:tcW w:w="3651" w:type="dxa"/>
            <w:gridSpan w:val="5"/>
            <w:tcBorders/>
            <w:vAlign w:val="center"/>
          </w:tcPr>
          <w:p>
            <w:pPr>
              <w:pStyle w:val="TableContents"/>
              <w:bidi w:val="0"/>
              <w:spacing w:before="0" w:after="283"/>
              <w:jc w:val="center"/>
              <w:rPr/>
            </w:pPr>
            <w:r>
              <w:rPr>
                <w:rStyle w:val="StrongEmphasis"/>
              </w:rPr>
              <w:t>For the three months ended</w:t>
            </w:r>
          </w:p>
        </w:tc>
      </w:tr>
      <w:tr>
        <w:trPr/>
        <w:tc>
          <w:tcPr>
            <w:tcW w:w="2809" w:type="dxa"/>
            <w:tcBorders/>
            <w:vAlign w:val="center"/>
          </w:tcPr>
          <w:p>
            <w:pPr>
              <w:pStyle w:val="TableContents"/>
              <w:bidi w:val="0"/>
              <w:spacing w:before="0" w:after="283"/>
              <w:jc w:val="left"/>
              <w:rPr/>
            </w:pPr>
            <w:r>
              <w:rPr>
                <w:rStyle w:val="StrongEmphasis"/>
              </w:rPr>
              <w:t>(In thousands of U.S. dollars)</w:t>
            </w:r>
          </w:p>
        </w:tc>
        <w:tc>
          <w:tcPr>
            <w:tcW w:w="228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31, 2026</w:t>
            </w:r>
          </w:p>
        </w:tc>
        <w:tc>
          <w:tcPr>
            <w:tcW w:w="151" w:type="dxa"/>
            <w:tcBorders/>
            <w:vAlign w:val="center"/>
          </w:tcPr>
          <w:p>
            <w:pPr>
              <w:pStyle w:val="TableContents"/>
              <w:bidi w:val="0"/>
              <w:spacing w:before="0" w:after="283"/>
              <w:jc w:val="center"/>
              <w:rPr/>
            </w:pPr>
            <w:r>
              <w:rPr/>
              <w:t> </w:t>
            </w:r>
          </w:p>
        </w:tc>
        <w:tc>
          <w:tcPr>
            <w:tcW w:w="11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xml:space="preserve">% of Total </w:t>
              <w:br/>
              <w:t>Revenue</w:t>
            </w:r>
          </w:p>
        </w:tc>
        <w:tc>
          <w:tcPr>
            <w:tcW w:w="146" w:type="dxa"/>
            <w:tcBorders/>
            <w:vAlign w:val="center"/>
          </w:tcPr>
          <w:p>
            <w:pPr>
              <w:pStyle w:val="TableContents"/>
              <w:bidi w:val="0"/>
              <w:spacing w:before="0" w:after="283"/>
              <w:jc w:val="center"/>
              <w:rPr/>
            </w:pPr>
            <w:r>
              <w:rPr/>
              <w:t> </w:t>
            </w:r>
          </w:p>
        </w:tc>
        <w:tc>
          <w:tcPr>
            <w:tcW w:w="2281"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31, 2025</w:t>
            </w:r>
          </w:p>
        </w:tc>
        <w:tc>
          <w:tcPr>
            <w:tcW w:w="151" w:type="dxa"/>
            <w:tcBorders/>
            <w:vAlign w:val="center"/>
          </w:tcPr>
          <w:p>
            <w:pPr>
              <w:pStyle w:val="TableContents"/>
              <w:bidi w:val="0"/>
              <w:spacing w:before="0" w:after="283"/>
              <w:jc w:val="center"/>
              <w:rPr/>
            </w:pPr>
            <w:r>
              <w:rPr/>
              <w:t> </w:t>
            </w:r>
          </w:p>
        </w:tc>
        <w:tc>
          <w:tcPr>
            <w:tcW w:w="121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xml:space="preserve">% of Total </w:t>
              <w:br/>
              <w:t>Revenue</w:t>
            </w:r>
          </w:p>
        </w:tc>
      </w:tr>
      <w:tr>
        <w:trPr/>
        <w:tc>
          <w:tcPr>
            <w:tcW w:w="2809" w:type="dxa"/>
            <w:tcBorders/>
            <w:vAlign w:val="center"/>
          </w:tcPr>
          <w:p>
            <w:pPr>
              <w:pStyle w:val="TableContents"/>
              <w:bidi w:val="0"/>
              <w:spacing w:before="0" w:after="283"/>
              <w:jc w:val="left"/>
              <w:rPr/>
            </w:pPr>
            <w:r>
              <w:rPr/>
              <w:t>Revenue from Canadian medical cannabis</w:t>
            </w:r>
          </w:p>
        </w:tc>
        <w:tc>
          <w:tcPr>
            <w:tcW w:w="398" w:type="dxa"/>
            <w:tcBorders/>
            <w:vAlign w:val="center"/>
          </w:tcPr>
          <w:p>
            <w:pPr>
              <w:pStyle w:val="TableContents"/>
              <w:bidi w:val="0"/>
              <w:spacing w:before="0" w:after="283"/>
              <w:jc w:val="right"/>
              <w:rPr/>
            </w:pPr>
            <w:r>
              <w:rPr/>
              <w:t>$</w:t>
            </w:r>
          </w:p>
        </w:tc>
        <w:tc>
          <w:tcPr>
            <w:tcW w:w="1566" w:type="dxa"/>
            <w:tcBorders/>
            <w:vAlign w:val="center"/>
          </w:tcPr>
          <w:p>
            <w:pPr>
              <w:pStyle w:val="TableContents"/>
              <w:bidi w:val="0"/>
              <w:spacing w:before="0" w:after="283"/>
              <w:jc w:val="right"/>
              <w:rPr/>
            </w:pPr>
            <w:r>
              <w:rPr/>
              <w:t>4,717</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8%</w:t>
            </w:r>
          </w:p>
        </w:tc>
        <w:tc>
          <w:tcPr>
            <w:tcW w:w="146" w:type="dxa"/>
            <w:tcBorders/>
            <w:vAlign w:val="center"/>
          </w:tcPr>
          <w:p>
            <w:pPr>
              <w:pStyle w:val="TableContents"/>
              <w:bidi w:val="0"/>
              <w:spacing w:before="0" w:after="283"/>
              <w:jc w:val="right"/>
              <w:rPr/>
            </w:pPr>
            <w:r>
              <w:rPr/>
              <w:t> </w:t>
            </w:r>
          </w:p>
        </w:tc>
        <w:tc>
          <w:tcPr>
            <w:tcW w:w="398" w:type="dxa"/>
            <w:tcBorders/>
            <w:vAlign w:val="center"/>
          </w:tcPr>
          <w:p>
            <w:pPr>
              <w:pStyle w:val="TableContents"/>
              <w:bidi w:val="0"/>
              <w:spacing w:before="0" w:after="283"/>
              <w:jc w:val="right"/>
              <w:rPr/>
            </w:pPr>
            <w:r>
              <w:rPr/>
              <w:t>$</w:t>
            </w:r>
          </w:p>
        </w:tc>
        <w:tc>
          <w:tcPr>
            <w:tcW w:w="1565" w:type="dxa"/>
            <w:tcBorders/>
            <w:vAlign w:val="center"/>
          </w:tcPr>
          <w:p>
            <w:pPr>
              <w:pStyle w:val="TableContents"/>
              <w:bidi w:val="0"/>
              <w:spacing w:before="0" w:after="283"/>
              <w:jc w:val="right"/>
              <w:rPr/>
            </w:pPr>
            <w:r>
              <w:rPr/>
              <w:t>6,146</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10%</w:t>
            </w:r>
          </w:p>
        </w:tc>
      </w:tr>
      <w:tr>
        <w:trPr/>
        <w:tc>
          <w:tcPr>
            <w:tcW w:w="2809" w:type="dxa"/>
            <w:tcBorders/>
            <w:vAlign w:val="center"/>
          </w:tcPr>
          <w:p>
            <w:pPr>
              <w:pStyle w:val="TableContents"/>
              <w:bidi w:val="0"/>
              <w:spacing w:before="0" w:after="283"/>
              <w:jc w:val="left"/>
              <w:rPr/>
            </w:pPr>
            <w:r>
              <w:rPr/>
              <w:t>Revenue from Canadian adult-use cannabis</w:t>
            </w:r>
          </w:p>
        </w:tc>
        <w:tc>
          <w:tcPr>
            <w:tcW w:w="398" w:type="dxa"/>
            <w:tcBorders/>
            <w:vAlign w:val="center"/>
          </w:tcPr>
          <w:p>
            <w:pPr>
              <w:pStyle w:val="TableContents"/>
              <w:bidi w:val="0"/>
              <w:spacing w:before="0" w:after="283"/>
              <w:jc w:val="right"/>
              <w:rPr/>
            </w:pPr>
            <w:r>
              <w:rPr/>
              <w:t> </w:t>
            </w:r>
          </w:p>
        </w:tc>
        <w:tc>
          <w:tcPr>
            <w:tcW w:w="1566" w:type="dxa"/>
            <w:tcBorders/>
            <w:vAlign w:val="center"/>
          </w:tcPr>
          <w:p>
            <w:pPr>
              <w:pStyle w:val="TableContents"/>
              <w:bidi w:val="0"/>
              <w:spacing w:before="0" w:after="283"/>
              <w:jc w:val="right"/>
              <w:rPr/>
            </w:pPr>
            <w:r>
              <w:rPr/>
              <w:t>53,564</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95%</w:t>
            </w:r>
          </w:p>
        </w:tc>
        <w:tc>
          <w:tcPr>
            <w:tcW w:w="146" w:type="dxa"/>
            <w:tcBorders/>
            <w:vAlign w:val="center"/>
          </w:tcPr>
          <w:p>
            <w:pPr>
              <w:pStyle w:val="TableContents"/>
              <w:bidi w:val="0"/>
              <w:spacing w:before="0" w:after="283"/>
              <w:jc w:val="right"/>
              <w:rPr/>
            </w:pPr>
            <w:r>
              <w:rPr/>
              <w:t> </w:t>
            </w:r>
          </w:p>
        </w:tc>
        <w:tc>
          <w:tcPr>
            <w:tcW w:w="398" w:type="dxa"/>
            <w:tcBorders/>
            <w:vAlign w:val="center"/>
          </w:tcPr>
          <w:p>
            <w:pPr>
              <w:pStyle w:val="TableContents"/>
              <w:bidi w:val="0"/>
              <w:spacing w:before="0" w:after="283"/>
              <w:jc w:val="right"/>
              <w:rPr/>
            </w:pPr>
            <w:r>
              <w:rPr/>
              <w:t> </w:t>
            </w:r>
          </w:p>
        </w:tc>
        <w:tc>
          <w:tcPr>
            <w:tcW w:w="1565" w:type="dxa"/>
            <w:tcBorders/>
            <w:vAlign w:val="center"/>
          </w:tcPr>
          <w:p>
            <w:pPr>
              <w:pStyle w:val="TableContents"/>
              <w:bidi w:val="0"/>
              <w:spacing w:before="0" w:after="283"/>
              <w:jc w:val="right"/>
              <w:rPr/>
            </w:pPr>
            <w:r>
              <w:rPr/>
              <w:t>64,067</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99%</w:t>
            </w:r>
          </w:p>
        </w:tc>
      </w:tr>
      <w:tr>
        <w:trPr/>
        <w:tc>
          <w:tcPr>
            <w:tcW w:w="2809" w:type="dxa"/>
            <w:tcBorders/>
            <w:vAlign w:val="center"/>
          </w:tcPr>
          <w:p>
            <w:pPr>
              <w:pStyle w:val="TableContents"/>
              <w:bidi w:val="0"/>
              <w:spacing w:before="0" w:after="283"/>
              <w:jc w:val="left"/>
              <w:rPr/>
            </w:pPr>
            <w:r>
              <w:rPr/>
              <w:t>Revenue from wholesale cannabis</w:t>
            </w:r>
          </w:p>
        </w:tc>
        <w:tc>
          <w:tcPr>
            <w:tcW w:w="398" w:type="dxa"/>
            <w:tcBorders/>
            <w:vAlign w:val="center"/>
          </w:tcPr>
          <w:p>
            <w:pPr>
              <w:pStyle w:val="TableContents"/>
              <w:bidi w:val="0"/>
              <w:spacing w:before="0" w:after="283"/>
              <w:jc w:val="right"/>
              <w:rPr/>
            </w:pPr>
            <w:r>
              <w:rPr/>
              <w:t> </w:t>
            </w:r>
          </w:p>
        </w:tc>
        <w:tc>
          <w:tcPr>
            <w:tcW w:w="1566" w:type="dxa"/>
            <w:tcBorders/>
            <w:vAlign w:val="center"/>
          </w:tcPr>
          <w:p>
            <w:pPr>
              <w:pStyle w:val="TableContents"/>
              <w:bidi w:val="0"/>
              <w:spacing w:before="0" w:after="283"/>
              <w:jc w:val="right"/>
              <w:rPr/>
            </w:pPr>
            <w:r>
              <w:rPr/>
              <w:t>673</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1%</w:t>
            </w:r>
          </w:p>
        </w:tc>
        <w:tc>
          <w:tcPr>
            <w:tcW w:w="146" w:type="dxa"/>
            <w:tcBorders/>
            <w:vAlign w:val="center"/>
          </w:tcPr>
          <w:p>
            <w:pPr>
              <w:pStyle w:val="TableContents"/>
              <w:bidi w:val="0"/>
              <w:spacing w:before="0" w:after="283"/>
              <w:jc w:val="right"/>
              <w:rPr/>
            </w:pPr>
            <w:r>
              <w:rPr/>
              <w:t> </w:t>
            </w:r>
          </w:p>
        </w:tc>
        <w:tc>
          <w:tcPr>
            <w:tcW w:w="398" w:type="dxa"/>
            <w:tcBorders/>
            <w:vAlign w:val="center"/>
          </w:tcPr>
          <w:p>
            <w:pPr>
              <w:pStyle w:val="TableContents"/>
              <w:bidi w:val="0"/>
              <w:spacing w:before="0" w:after="283"/>
              <w:jc w:val="right"/>
              <w:rPr/>
            </w:pPr>
            <w:r>
              <w:rPr/>
              <w:t> </w:t>
            </w:r>
          </w:p>
        </w:tc>
        <w:tc>
          <w:tcPr>
            <w:tcW w:w="1565" w:type="dxa"/>
            <w:tcBorders/>
            <w:vAlign w:val="center"/>
          </w:tcPr>
          <w:p>
            <w:pPr>
              <w:pStyle w:val="TableContents"/>
              <w:bidi w:val="0"/>
              <w:spacing w:before="0" w:after="283"/>
              <w:jc w:val="right"/>
              <w:rPr/>
            </w:pPr>
            <w:r>
              <w:rPr/>
              <w:t>4,155</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6%</w:t>
            </w:r>
          </w:p>
        </w:tc>
      </w:tr>
      <w:tr>
        <w:trPr/>
        <w:tc>
          <w:tcPr>
            <w:tcW w:w="2809" w:type="dxa"/>
            <w:tcBorders/>
            <w:vAlign w:val="center"/>
          </w:tcPr>
          <w:p>
            <w:pPr>
              <w:pStyle w:val="TableContents"/>
              <w:bidi w:val="0"/>
              <w:spacing w:before="0" w:after="283"/>
              <w:jc w:val="left"/>
              <w:rPr/>
            </w:pPr>
            <w:r>
              <w:rPr/>
              <w:t>Revenue from international cannabis</w:t>
            </w:r>
          </w:p>
        </w:tc>
        <w:tc>
          <w:tcPr>
            <w:tcW w:w="398" w:type="dxa"/>
            <w:tcBorders/>
            <w:vAlign w:val="center"/>
          </w:tcPr>
          <w:p>
            <w:pPr>
              <w:pStyle w:val="TableContents"/>
              <w:bidi w:val="0"/>
              <w:spacing w:before="0" w:after="283"/>
              <w:jc w:val="right"/>
              <w:rPr/>
            </w:pPr>
            <w:r>
              <w:rPr/>
              <w:t> </w:t>
            </w:r>
          </w:p>
        </w:tc>
        <w:tc>
          <w:tcPr>
            <w:tcW w:w="1566" w:type="dxa"/>
            <w:tcBorders/>
            <w:vAlign w:val="center"/>
          </w:tcPr>
          <w:p>
            <w:pPr>
              <w:pStyle w:val="TableContents"/>
              <w:bidi w:val="0"/>
              <w:spacing w:before="0" w:after="283"/>
              <w:jc w:val="right"/>
              <w:rPr/>
            </w:pPr>
            <w:r>
              <w:rPr/>
              <w:t>16,237</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29%</w:t>
            </w:r>
          </w:p>
        </w:tc>
        <w:tc>
          <w:tcPr>
            <w:tcW w:w="146" w:type="dxa"/>
            <w:tcBorders/>
            <w:vAlign w:val="center"/>
          </w:tcPr>
          <w:p>
            <w:pPr>
              <w:pStyle w:val="TableContents"/>
              <w:bidi w:val="0"/>
              <w:spacing w:before="0" w:after="283"/>
              <w:jc w:val="right"/>
              <w:rPr/>
            </w:pPr>
            <w:r>
              <w:rPr/>
              <w:t> </w:t>
            </w:r>
          </w:p>
        </w:tc>
        <w:tc>
          <w:tcPr>
            <w:tcW w:w="398" w:type="dxa"/>
            <w:tcBorders/>
            <w:vAlign w:val="center"/>
          </w:tcPr>
          <w:p>
            <w:pPr>
              <w:pStyle w:val="TableContents"/>
              <w:bidi w:val="0"/>
              <w:spacing w:before="0" w:after="283"/>
              <w:jc w:val="right"/>
              <w:rPr/>
            </w:pPr>
            <w:r>
              <w:rPr/>
              <w:t> </w:t>
            </w:r>
          </w:p>
        </w:tc>
        <w:tc>
          <w:tcPr>
            <w:tcW w:w="1565" w:type="dxa"/>
            <w:tcBorders/>
            <w:vAlign w:val="center"/>
          </w:tcPr>
          <w:p>
            <w:pPr>
              <w:pStyle w:val="TableContents"/>
              <w:bidi w:val="0"/>
              <w:spacing w:before="0" w:after="283"/>
              <w:jc w:val="right"/>
              <w:rPr/>
            </w:pPr>
            <w:r>
              <w:rPr/>
              <w:t>13,367</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21%</w:t>
            </w:r>
          </w:p>
        </w:tc>
      </w:tr>
      <w:tr>
        <w:trPr/>
        <w:tc>
          <w:tcPr>
            <w:tcW w:w="2809" w:type="dxa"/>
            <w:tcBorders/>
            <w:vAlign w:val="center"/>
          </w:tcPr>
          <w:p>
            <w:pPr>
              <w:pStyle w:val="TableContents"/>
              <w:bidi w:val="0"/>
              <w:spacing w:before="0" w:after="283"/>
              <w:jc w:val="left"/>
              <w:rPr/>
            </w:pPr>
            <w:r>
              <w:rPr/>
              <w:t>Less excise taxes</w:t>
            </w:r>
          </w:p>
        </w:tc>
        <w:tc>
          <w:tcPr>
            <w:tcW w:w="398" w:type="dxa"/>
            <w:tcBorders/>
            <w:vAlign w:val="center"/>
          </w:tcPr>
          <w:p>
            <w:pPr>
              <w:pStyle w:val="TableContents"/>
              <w:bidi w:val="0"/>
              <w:spacing w:before="0" w:after="283"/>
              <w:jc w:val="right"/>
              <w:rPr/>
            </w:pPr>
            <w:r>
              <w:rPr/>
              <w:t> </w:t>
            </w:r>
          </w:p>
        </w:tc>
        <w:tc>
          <w:tcPr>
            <w:tcW w:w="1566" w:type="dxa"/>
            <w:tcBorders/>
            <w:vAlign w:val="center"/>
          </w:tcPr>
          <w:p>
            <w:pPr>
              <w:pStyle w:val="TableContents"/>
              <w:bidi w:val="0"/>
              <w:spacing w:before="0" w:after="283"/>
              <w:jc w:val="right"/>
              <w:rPr/>
            </w:pPr>
            <w:r>
              <w:rPr/>
              <w:t>(19,082</w:t>
            </w:r>
          </w:p>
        </w:tc>
        <w:tc>
          <w:tcPr>
            <w:tcW w:w="318" w:type="dxa"/>
            <w:tcBorders/>
            <w:vAlign w:val="center"/>
          </w:tcPr>
          <w:p>
            <w:pPr>
              <w:pStyle w:val="TableContents"/>
              <w:bidi w:val="0"/>
              <w:spacing w:before="0" w:after="283"/>
              <w:jc w:val="left"/>
              <w:rPr/>
            </w:pPr>
            <w:r>
              <w:rPr/>
              <w:t>)</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(33)%</w:t>
            </w:r>
          </w:p>
        </w:tc>
        <w:tc>
          <w:tcPr>
            <w:tcW w:w="146" w:type="dxa"/>
            <w:tcBorders/>
            <w:vAlign w:val="center"/>
          </w:tcPr>
          <w:p>
            <w:pPr>
              <w:pStyle w:val="TableContents"/>
              <w:bidi w:val="0"/>
              <w:spacing w:before="0" w:after="283"/>
              <w:jc w:val="right"/>
              <w:rPr/>
            </w:pPr>
            <w:r>
              <w:rPr/>
              <w:t> </w:t>
            </w:r>
          </w:p>
        </w:tc>
        <w:tc>
          <w:tcPr>
            <w:tcW w:w="398" w:type="dxa"/>
            <w:tcBorders/>
            <w:vAlign w:val="center"/>
          </w:tcPr>
          <w:p>
            <w:pPr>
              <w:pStyle w:val="TableContents"/>
              <w:bidi w:val="0"/>
              <w:spacing w:before="0" w:after="283"/>
              <w:jc w:val="right"/>
              <w:rPr/>
            </w:pPr>
            <w:r>
              <w:rPr/>
              <w:t> </w:t>
            </w:r>
          </w:p>
        </w:tc>
        <w:tc>
          <w:tcPr>
            <w:tcW w:w="1565" w:type="dxa"/>
            <w:tcBorders/>
            <w:vAlign w:val="center"/>
          </w:tcPr>
          <w:p>
            <w:pPr>
              <w:pStyle w:val="TableContents"/>
              <w:bidi w:val="0"/>
              <w:spacing w:before="0" w:after="283"/>
              <w:jc w:val="right"/>
              <w:rPr/>
            </w:pPr>
            <w:r>
              <w:rPr/>
              <w:t>(23,224</w:t>
            </w:r>
          </w:p>
        </w:tc>
        <w:tc>
          <w:tcPr>
            <w:tcW w:w="318" w:type="dxa"/>
            <w:tcBorders/>
            <w:vAlign w:val="center"/>
          </w:tcPr>
          <w:p>
            <w:pPr>
              <w:pStyle w:val="TableContents"/>
              <w:bidi w:val="0"/>
              <w:spacing w:before="0" w:after="283"/>
              <w:jc w:val="left"/>
              <w:rPr/>
            </w:pPr>
            <w:r>
              <w:rPr/>
              <w:t>)</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(36)%</w:t>
            </w:r>
          </w:p>
        </w:tc>
      </w:tr>
      <w:tr>
        <w:trPr/>
        <w:tc>
          <w:tcPr>
            <w:tcW w:w="2809" w:type="dxa"/>
            <w:tcBorders/>
            <w:vAlign w:val="center"/>
          </w:tcPr>
          <w:p>
            <w:pPr>
              <w:pStyle w:val="TableContents"/>
              <w:bidi w:val="0"/>
              <w:spacing w:before="0" w:after="283"/>
              <w:jc w:val="left"/>
              <w:rPr/>
            </w:pPr>
            <w:r>
              <w:rPr/>
              <w:t>Total</w:t>
            </w:r>
          </w:p>
        </w:tc>
        <w:tc>
          <w:tcPr>
            <w:tcW w:w="39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5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56,109</w:t>
            </w:r>
          </w:p>
        </w:tc>
        <w:tc>
          <w:tcPr>
            <w:tcW w:w="3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center"/>
              <w:rPr/>
            </w:pPr>
            <w:r>
              <w:rPr/>
              <w:t>100%</w:t>
            </w:r>
          </w:p>
        </w:tc>
        <w:tc>
          <w:tcPr>
            <w:tcW w:w="146" w:type="dxa"/>
            <w:tcBorders/>
            <w:vAlign w:val="center"/>
          </w:tcPr>
          <w:p>
            <w:pPr>
              <w:pStyle w:val="TableContents"/>
              <w:bidi w:val="0"/>
              <w:spacing w:before="0" w:after="283"/>
              <w:jc w:val="right"/>
              <w:rPr/>
            </w:pPr>
            <w:r>
              <w:rPr/>
              <w:t> </w:t>
            </w:r>
          </w:p>
        </w:tc>
        <w:tc>
          <w:tcPr>
            <w:tcW w:w="39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56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64,511</w:t>
            </w:r>
          </w:p>
        </w:tc>
        <w:tc>
          <w:tcPr>
            <w:tcW w:w="3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center"/>
              <w:rPr/>
            </w:pPr>
            <w:r>
              <w:rPr/>
              <w:t>100%</w:t>
            </w:r>
          </w:p>
        </w:tc>
      </w:tr>
      <w:tr>
        <w:trPr/>
        <w:tc>
          <w:tcPr>
            <w:tcW w:w="2809" w:type="dxa"/>
            <w:tcBorders/>
            <w:vAlign w:val="center"/>
          </w:tcPr>
          <w:p>
            <w:pPr>
              <w:pStyle w:val="TableContents"/>
              <w:bidi w:val="0"/>
              <w:spacing w:before="0" w:after="283"/>
              <w:jc w:val="right"/>
              <w:rPr/>
            </w:pPr>
            <w:r>
              <w:rPr/>
              <w:t> </w:t>
            </w:r>
          </w:p>
        </w:tc>
        <w:tc>
          <w:tcPr>
            <w:tcW w:w="2282" w:type="dxa"/>
            <w:gridSpan w:val="3"/>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81" w:type="dxa"/>
            <w:gridSpan w:val="3"/>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 </w:t>
            </w:r>
          </w:p>
        </w:tc>
      </w:tr>
      <w:tr>
        <w:trPr/>
        <w:tc>
          <w:tcPr>
            <w:tcW w:w="2809" w:type="dxa"/>
            <w:tcBorders/>
            <w:vAlign w:val="center"/>
          </w:tcPr>
          <w:p>
            <w:pPr>
              <w:pStyle w:val="TableContents"/>
              <w:bidi w:val="0"/>
              <w:spacing w:before="0" w:after="283"/>
              <w:jc w:val="right"/>
              <w:rPr/>
            </w:pPr>
            <w:r>
              <w:rPr/>
              <w:t> </w:t>
            </w:r>
          </w:p>
        </w:tc>
        <w:tc>
          <w:tcPr>
            <w:tcW w:w="2282" w:type="dxa"/>
            <w:gridSpan w:val="3"/>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81" w:type="dxa"/>
            <w:gridSpan w:val="3"/>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 </w:t>
            </w:r>
          </w:p>
        </w:tc>
      </w:tr>
      <w:tr>
        <w:trPr/>
        <w:tc>
          <w:tcPr>
            <w:tcW w:w="5091" w:type="dxa"/>
            <w:gridSpan w:val="4"/>
            <w:tcBorders/>
            <w:vAlign w:val="center"/>
          </w:tcPr>
          <w:p>
            <w:pPr>
              <w:pStyle w:val="TableContents"/>
              <w:bidi w:val="0"/>
              <w:spacing w:before="0" w:after="283"/>
              <w:jc w:val="left"/>
              <w:rPr/>
            </w:pPr>
            <w:r>
              <w:rPr>
                <w:rStyle w:val="StrongEmphasis"/>
              </w:rPr>
              <w:t>Net Cannabis Revenue by Market Channel in Constant Currency</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81" w:type="dxa"/>
            <w:gridSpan w:val="3"/>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 </w:t>
            </w:r>
          </w:p>
        </w:tc>
      </w:tr>
      <w:tr>
        <w:trPr/>
        <w:tc>
          <w:tcPr>
            <w:tcW w:w="2809" w:type="dxa"/>
            <w:tcBorders/>
            <w:vAlign w:val="center"/>
          </w:tcPr>
          <w:p>
            <w:pPr>
              <w:pStyle w:val="TableContents"/>
              <w:bidi w:val="0"/>
              <w:spacing w:before="0" w:after="283"/>
              <w:jc w:val="right"/>
              <w:rPr/>
            </w:pPr>
            <w:r>
              <w:rPr/>
              <w:t> </w:t>
            </w:r>
          </w:p>
        </w:tc>
        <w:tc>
          <w:tcPr>
            <w:tcW w:w="3599" w:type="dxa"/>
            <w:gridSpan w:val="5"/>
            <w:tcBorders/>
            <w:vAlign w:val="center"/>
          </w:tcPr>
          <w:p>
            <w:pPr>
              <w:pStyle w:val="TableContents"/>
              <w:bidi w:val="0"/>
              <w:spacing w:before="0" w:after="283"/>
              <w:jc w:val="center"/>
              <w:rPr/>
            </w:pPr>
            <w:r>
              <w:rPr>
                <w:rStyle w:val="StrongEmphasis"/>
              </w:rPr>
              <w:t>For the three months ended</w:t>
            </w:r>
          </w:p>
        </w:tc>
        <w:tc>
          <w:tcPr>
            <w:tcW w:w="146" w:type="dxa"/>
            <w:tcBorders/>
            <w:vAlign w:val="center"/>
          </w:tcPr>
          <w:p>
            <w:pPr>
              <w:pStyle w:val="TableContents"/>
              <w:bidi w:val="0"/>
              <w:spacing w:before="0" w:after="283"/>
              <w:jc w:val="right"/>
              <w:rPr/>
            </w:pPr>
            <w:r>
              <w:rPr/>
              <w:t> </w:t>
            </w:r>
          </w:p>
        </w:tc>
        <w:tc>
          <w:tcPr>
            <w:tcW w:w="3651" w:type="dxa"/>
            <w:gridSpan w:val="5"/>
            <w:tcBorders/>
            <w:vAlign w:val="center"/>
          </w:tcPr>
          <w:p>
            <w:pPr>
              <w:pStyle w:val="TableContents"/>
              <w:bidi w:val="0"/>
              <w:spacing w:before="0" w:after="283"/>
              <w:jc w:val="center"/>
              <w:rPr/>
            </w:pPr>
            <w:r>
              <w:rPr>
                <w:rStyle w:val="StrongEmphasis"/>
              </w:rPr>
              <w:t>For the three months ended</w:t>
            </w:r>
          </w:p>
        </w:tc>
      </w:tr>
      <w:tr>
        <w:trPr/>
        <w:tc>
          <w:tcPr>
            <w:tcW w:w="2809" w:type="dxa"/>
            <w:tcBorders/>
            <w:vAlign w:val="center"/>
          </w:tcPr>
          <w:p>
            <w:pPr>
              <w:pStyle w:val="TableContents"/>
              <w:bidi w:val="0"/>
              <w:spacing w:before="0" w:after="283"/>
              <w:jc w:val="right"/>
              <w:rPr/>
            </w:pPr>
            <w:r>
              <w:rPr/>
              <w:t> </w:t>
            </w:r>
          </w:p>
        </w:tc>
        <w:tc>
          <w:tcPr>
            <w:tcW w:w="2282" w:type="dxa"/>
            <w:gridSpan w:val="3"/>
            <w:tcBorders/>
            <w:vAlign w:val="center"/>
          </w:tcPr>
          <w:p>
            <w:pPr>
              <w:pStyle w:val="TableContents"/>
              <w:bidi w:val="0"/>
              <w:spacing w:before="0" w:after="283"/>
              <w:jc w:val="center"/>
              <w:rPr/>
            </w:pPr>
            <w:r>
              <w:rPr>
                <w:rStyle w:val="StrongEmphasis"/>
              </w:rPr>
              <w:t>August 31, 2026</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81" w:type="dxa"/>
            <w:gridSpan w:val="3"/>
            <w:tcBorders/>
            <w:vAlign w:val="center"/>
          </w:tcPr>
          <w:p>
            <w:pPr>
              <w:pStyle w:val="TableContents"/>
              <w:bidi w:val="0"/>
              <w:spacing w:before="0" w:after="283"/>
              <w:jc w:val="center"/>
              <w:rPr/>
            </w:pPr>
            <w:r>
              <w:rPr>
                <w:rStyle w:val="StrongEmphasis"/>
              </w:rPr>
              <w:t>August 31, 2025</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 </w:t>
            </w:r>
          </w:p>
        </w:tc>
      </w:tr>
      <w:tr>
        <w:trPr/>
        <w:tc>
          <w:tcPr>
            <w:tcW w:w="2809" w:type="dxa"/>
            <w:tcBorders/>
            <w:vAlign w:val="center"/>
          </w:tcPr>
          <w:p>
            <w:pPr>
              <w:pStyle w:val="TableContents"/>
              <w:bidi w:val="0"/>
              <w:spacing w:before="0" w:after="283"/>
              <w:jc w:val="left"/>
              <w:rPr/>
            </w:pPr>
            <w:r>
              <w:rPr>
                <w:rStyle w:val="StrongEmphasis"/>
              </w:rPr>
              <w:t>(In thousands of U.S. dollars)</w:t>
            </w:r>
          </w:p>
        </w:tc>
        <w:tc>
          <w:tcPr>
            <w:tcW w:w="228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reported in constant currency</w:t>
            </w:r>
          </w:p>
        </w:tc>
        <w:tc>
          <w:tcPr>
            <w:tcW w:w="151" w:type="dxa"/>
            <w:tcBorders/>
            <w:vAlign w:val="center"/>
          </w:tcPr>
          <w:p>
            <w:pPr>
              <w:pStyle w:val="TableContents"/>
              <w:bidi w:val="0"/>
              <w:spacing w:before="0" w:after="283"/>
              <w:jc w:val="center"/>
              <w:rPr/>
            </w:pPr>
            <w:r>
              <w:rPr/>
              <w:t> </w:t>
            </w:r>
          </w:p>
        </w:tc>
        <w:tc>
          <w:tcPr>
            <w:tcW w:w="11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xml:space="preserve">% of Total </w:t>
              <w:br/>
              <w:t>Revenue</w:t>
            </w:r>
          </w:p>
        </w:tc>
        <w:tc>
          <w:tcPr>
            <w:tcW w:w="146" w:type="dxa"/>
            <w:tcBorders/>
            <w:vAlign w:val="center"/>
          </w:tcPr>
          <w:p>
            <w:pPr>
              <w:pStyle w:val="TableContents"/>
              <w:bidi w:val="0"/>
              <w:spacing w:before="0" w:after="283"/>
              <w:jc w:val="center"/>
              <w:rPr/>
            </w:pPr>
            <w:r>
              <w:rPr/>
              <w:t> </w:t>
            </w:r>
          </w:p>
        </w:tc>
        <w:tc>
          <w:tcPr>
            <w:tcW w:w="2281"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reported in constant currency</w:t>
            </w:r>
          </w:p>
        </w:tc>
        <w:tc>
          <w:tcPr>
            <w:tcW w:w="151" w:type="dxa"/>
            <w:tcBorders/>
            <w:vAlign w:val="center"/>
          </w:tcPr>
          <w:p>
            <w:pPr>
              <w:pStyle w:val="TableContents"/>
              <w:bidi w:val="0"/>
              <w:spacing w:before="0" w:after="283"/>
              <w:jc w:val="center"/>
              <w:rPr/>
            </w:pPr>
            <w:r>
              <w:rPr/>
              <w:t> </w:t>
            </w:r>
          </w:p>
        </w:tc>
        <w:tc>
          <w:tcPr>
            <w:tcW w:w="121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xml:space="preserve">% of Total </w:t>
              <w:br/>
              <w:t>Revenue</w:t>
            </w:r>
          </w:p>
        </w:tc>
      </w:tr>
      <w:tr>
        <w:trPr/>
        <w:tc>
          <w:tcPr>
            <w:tcW w:w="2809" w:type="dxa"/>
            <w:tcBorders/>
            <w:vAlign w:val="center"/>
          </w:tcPr>
          <w:p>
            <w:pPr>
              <w:pStyle w:val="TableContents"/>
              <w:bidi w:val="0"/>
              <w:spacing w:before="0" w:after="283"/>
              <w:jc w:val="left"/>
              <w:rPr/>
            </w:pPr>
            <w:r>
              <w:rPr/>
              <w:t>Revenue from Canadian medical cannabis</w:t>
            </w:r>
          </w:p>
        </w:tc>
        <w:tc>
          <w:tcPr>
            <w:tcW w:w="398" w:type="dxa"/>
            <w:tcBorders/>
            <w:vAlign w:val="center"/>
          </w:tcPr>
          <w:p>
            <w:pPr>
              <w:pStyle w:val="TableContents"/>
              <w:bidi w:val="0"/>
              <w:spacing w:before="0" w:after="283"/>
              <w:jc w:val="right"/>
              <w:rPr/>
            </w:pPr>
            <w:r>
              <w:rPr/>
              <w:t>$</w:t>
            </w:r>
          </w:p>
        </w:tc>
        <w:tc>
          <w:tcPr>
            <w:tcW w:w="1566" w:type="dxa"/>
            <w:tcBorders/>
            <w:vAlign w:val="center"/>
          </w:tcPr>
          <w:p>
            <w:pPr>
              <w:pStyle w:val="TableContents"/>
              <w:bidi w:val="0"/>
              <w:spacing w:before="0" w:after="283"/>
              <w:jc w:val="right"/>
              <w:rPr/>
            </w:pPr>
            <w:r>
              <w:rPr/>
              <w:t>4,804</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8%</w:t>
            </w:r>
          </w:p>
        </w:tc>
        <w:tc>
          <w:tcPr>
            <w:tcW w:w="146" w:type="dxa"/>
            <w:tcBorders/>
            <w:vAlign w:val="center"/>
          </w:tcPr>
          <w:p>
            <w:pPr>
              <w:pStyle w:val="TableContents"/>
              <w:bidi w:val="0"/>
              <w:spacing w:before="0" w:after="283"/>
              <w:jc w:val="right"/>
              <w:rPr/>
            </w:pPr>
            <w:r>
              <w:rPr/>
              <w:t> </w:t>
            </w:r>
          </w:p>
        </w:tc>
        <w:tc>
          <w:tcPr>
            <w:tcW w:w="398" w:type="dxa"/>
            <w:tcBorders/>
            <w:vAlign w:val="center"/>
          </w:tcPr>
          <w:p>
            <w:pPr>
              <w:pStyle w:val="TableContents"/>
              <w:bidi w:val="0"/>
              <w:spacing w:before="0" w:after="283"/>
              <w:jc w:val="right"/>
              <w:rPr/>
            </w:pPr>
            <w:r>
              <w:rPr/>
              <w:t>$</w:t>
            </w:r>
          </w:p>
        </w:tc>
        <w:tc>
          <w:tcPr>
            <w:tcW w:w="1565" w:type="dxa"/>
            <w:tcBorders/>
            <w:vAlign w:val="center"/>
          </w:tcPr>
          <w:p>
            <w:pPr>
              <w:pStyle w:val="TableContents"/>
              <w:bidi w:val="0"/>
              <w:spacing w:before="0" w:after="283"/>
              <w:jc w:val="right"/>
              <w:rPr/>
            </w:pPr>
            <w:r>
              <w:rPr/>
              <w:t>6,146</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10%</w:t>
            </w:r>
          </w:p>
        </w:tc>
      </w:tr>
      <w:tr>
        <w:trPr/>
        <w:tc>
          <w:tcPr>
            <w:tcW w:w="2809" w:type="dxa"/>
            <w:tcBorders/>
            <w:vAlign w:val="center"/>
          </w:tcPr>
          <w:p>
            <w:pPr>
              <w:pStyle w:val="TableContents"/>
              <w:bidi w:val="0"/>
              <w:spacing w:before="0" w:after="283"/>
              <w:jc w:val="left"/>
              <w:rPr/>
            </w:pPr>
            <w:r>
              <w:rPr/>
              <w:t>Revenue from Canadian adult-use cannabis</w:t>
            </w:r>
          </w:p>
        </w:tc>
        <w:tc>
          <w:tcPr>
            <w:tcW w:w="398" w:type="dxa"/>
            <w:tcBorders/>
            <w:vAlign w:val="center"/>
          </w:tcPr>
          <w:p>
            <w:pPr>
              <w:pStyle w:val="TableContents"/>
              <w:bidi w:val="0"/>
              <w:spacing w:before="0" w:after="283"/>
              <w:jc w:val="right"/>
              <w:rPr/>
            </w:pPr>
            <w:r>
              <w:rPr/>
              <w:t> </w:t>
            </w:r>
          </w:p>
        </w:tc>
        <w:tc>
          <w:tcPr>
            <w:tcW w:w="1566" w:type="dxa"/>
            <w:tcBorders/>
            <w:vAlign w:val="center"/>
          </w:tcPr>
          <w:p>
            <w:pPr>
              <w:pStyle w:val="TableContents"/>
              <w:bidi w:val="0"/>
              <w:spacing w:before="0" w:after="283"/>
              <w:jc w:val="right"/>
              <w:rPr/>
            </w:pPr>
            <w:r>
              <w:rPr/>
              <w:t>54,575</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96%</w:t>
            </w:r>
          </w:p>
        </w:tc>
        <w:tc>
          <w:tcPr>
            <w:tcW w:w="146" w:type="dxa"/>
            <w:tcBorders/>
            <w:vAlign w:val="center"/>
          </w:tcPr>
          <w:p>
            <w:pPr>
              <w:pStyle w:val="TableContents"/>
              <w:bidi w:val="0"/>
              <w:spacing w:before="0" w:after="283"/>
              <w:jc w:val="right"/>
              <w:rPr/>
            </w:pPr>
            <w:r>
              <w:rPr/>
              <w:t> </w:t>
            </w:r>
          </w:p>
        </w:tc>
        <w:tc>
          <w:tcPr>
            <w:tcW w:w="398" w:type="dxa"/>
            <w:tcBorders/>
            <w:vAlign w:val="center"/>
          </w:tcPr>
          <w:p>
            <w:pPr>
              <w:pStyle w:val="TableContents"/>
              <w:bidi w:val="0"/>
              <w:spacing w:before="0" w:after="283"/>
              <w:jc w:val="right"/>
              <w:rPr/>
            </w:pPr>
            <w:r>
              <w:rPr/>
              <w:t> </w:t>
            </w:r>
          </w:p>
        </w:tc>
        <w:tc>
          <w:tcPr>
            <w:tcW w:w="1565" w:type="dxa"/>
            <w:tcBorders/>
            <w:vAlign w:val="center"/>
          </w:tcPr>
          <w:p>
            <w:pPr>
              <w:pStyle w:val="TableContents"/>
              <w:bidi w:val="0"/>
              <w:spacing w:before="0" w:after="283"/>
              <w:jc w:val="right"/>
              <w:rPr/>
            </w:pPr>
            <w:r>
              <w:rPr/>
              <w:t>64,067</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99%</w:t>
            </w:r>
          </w:p>
        </w:tc>
      </w:tr>
      <w:tr>
        <w:trPr/>
        <w:tc>
          <w:tcPr>
            <w:tcW w:w="2809" w:type="dxa"/>
            <w:tcBorders/>
            <w:vAlign w:val="center"/>
          </w:tcPr>
          <w:p>
            <w:pPr>
              <w:pStyle w:val="TableContents"/>
              <w:bidi w:val="0"/>
              <w:spacing w:before="0" w:after="283"/>
              <w:jc w:val="left"/>
              <w:rPr/>
            </w:pPr>
            <w:r>
              <w:rPr/>
              <w:t>Revenue from wholesale cannabis</w:t>
            </w:r>
          </w:p>
        </w:tc>
        <w:tc>
          <w:tcPr>
            <w:tcW w:w="398" w:type="dxa"/>
            <w:tcBorders/>
            <w:vAlign w:val="center"/>
          </w:tcPr>
          <w:p>
            <w:pPr>
              <w:pStyle w:val="TableContents"/>
              <w:bidi w:val="0"/>
              <w:spacing w:before="0" w:after="283"/>
              <w:jc w:val="right"/>
              <w:rPr/>
            </w:pPr>
            <w:r>
              <w:rPr/>
              <w:t> </w:t>
            </w:r>
          </w:p>
        </w:tc>
        <w:tc>
          <w:tcPr>
            <w:tcW w:w="1566" w:type="dxa"/>
            <w:tcBorders/>
            <w:vAlign w:val="center"/>
          </w:tcPr>
          <w:p>
            <w:pPr>
              <w:pStyle w:val="TableContents"/>
              <w:bidi w:val="0"/>
              <w:spacing w:before="0" w:after="283"/>
              <w:jc w:val="right"/>
              <w:rPr/>
            </w:pPr>
            <w:r>
              <w:rPr/>
              <w:t>685</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1%</w:t>
            </w:r>
          </w:p>
        </w:tc>
        <w:tc>
          <w:tcPr>
            <w:tcW w:w="146" w:type="dxa"/>
            <w:tcBorders/>
            <w:vAlign w:val="center"/>
          </w:tcPr>
          <w:p>
            <w:pPr>
              <w:pStyle w:val="TableContents"/>
              <w:bidi w:val="0"/>
              <w:spacing w:before="0" w:after="283"/>
              <w:jc w:val="right"/>
              <w:rPr/>
            </w:pPr>
            <w:r>
              <w:rPr/>
              <w:t> </w:t>
            </w:r>
          </w:p>
        </w:tc>
        <w:tc>
          <w:tcPr>
            <w:tcW w:w="398" w:type="dxa"/>
            <w:tcBorders/>
            <w:vAlign w:val="center"/>
          </w:tcPr>
          <w:p>
            <w:pPr>
              <w:pStyle w:val="TableContents"/>
              <w:bidi w:val="0"/>
              <w:spacing w:before="0" w:after="283"/>
              <w:jc w:val="right"/>
              <w:rPr/>
            </w:pPr>
            <w:r>
              <w:rPr/>
              <w:t> </w:t>
            </w:r>
          </w:p>
        </w:tc>
        <w:tc>
          <w:tcPr>
            <w:tcW w:w="1565" w:type="dxa"/>
            <w:tcBorders/>
            <w:vAlign w:val="center"/>
          </w:tcPr>
          <w:p>
            <w:pPr>
              <w:pStyle w:val="TableContents"/>
              <w:bidi w:val="0"/>
              <w:spacing w:before="0" w:after="283"/>
              <w:jc w:val="right"/>
              <w:rPr/>
            </w:pPr>
            <w:r>
              <w:rPr/>
              <w:t>4,155</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6%</w:t>
            </w:r>
          </w:p>
        </w:tc>
      </w:tr>
      <w:tr>
        <w:trPr/>
        <w:tc>
          <w:tcPr>
            <w:tcW w:w="2809" w:type="dxa"/>
            <w:tcBorders/>
            <w:vAlign w:val="center"/>
          </w:tcPr>
          <w:p>
            <w:pPr>
              <w:pStyle w:val="TableContents"/>
              <w:bidi w:val="0"/>
              <w:spacing w:before="0" w:after="283"/>
              <w:jc w:val="left"/>
              <w:rPr/>
            </w:pPr>
            <w:r>
              <w:rPr/>
              <w:t>Revenue from international cannabis</w:t>
            </w:r>
          </w:p>
        </w:tc>
        <w:tc>
          <w:tcPr>
            <w:tcW w:w="398" w:type="dxa"/>
            <w:tcBorders/>
            <w:vAlign w:val="center"/>
          </w:tcPr>
          <w:p>
            <w:pPr>
              <w:pStyle w:val="TableContents"/>
              <w:bidi w:val="0"/>
              <w:spacing w:before="0" w:after="283"/>
              <w:jc w:val="right"/>
              <w:rPr/>
            </w:pPr>
            <w:r>
              <w:rPr/>
              <w:t> </w:t>
            </w:r>
          </w:p>
        </w:tc>
        <w:tc>
          <w:tcPr>
            <w:tcW w:w="1566" w:type="dxa"/>
            <w:tcBorders/>
            <w:vAlign w:val="center"/>
          </w:tcPr>
          <w:p>
            <w:pPr>
              <w:pStyle w:val="TableContents"/>
              <w:bidi w:val="0"/>
              <w:spacing w:before="0" w:after="283"/>
              <w:jc w:val="right"/>
              <w:rPr/>
            </w:pPr>
            <w:r>
              <w:rPr/>
              <w:t>16,252</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29%</w:t>
            </w:r>
          </w:p>
        </w:tc>
        <w:tc>
          <w:tcPr>
            <w:tcW w:w="146" w:type="dxa"/>
            <w:tcBorders/>
            <w:vAlign w:val="center"/>
          </w:tcPr>
          <w:p>
            <w:pPr>
              <w:pStyle w:val="TableContents"/>
              <w:bidi w:val="0"/>
              <w:spacing w:before="0" w:after="283"/>
              <w:jc w:val="right"/>
              <w:rPr/>
            </w:pPr>
            <w:r>
              <w:rPr/>
              <w:t> </w:t>
            </w:r>
          </w:p>
        </w:tc>
        <w:tc>
          <w:tcPr>
            <w:tcW w:w="398" w:type="dxa"/>
            <w:tcBorders/>
            <w:vAlign w:val="center"/>
          </w:tcPr>
          <w:p>
            <w:pPr>
              <w:pStyle w:val="TableContents"/>
              <w:bidi w:val="0"/>
              <w:spacing w:before="0" w:after="283"/>
              <w:jc w:val="right"/>
              <w:rPr/>
            </w:pPr>
            <w:r>
              <w:rPr/>
              <w:t> </w:t>
            </w:r>
          </w:p>
        </w:tc>
        <w:tc>
          <w:tcPr>
            <w:tcW w:w="1565" w:type="dxa"/>
            <w:tcBorders/>
            <w:vAlign w:val="center"/>
          </w:tcPr>
          <w:p>
            <w:pPr>
              <w:pStyle w:val="TableContents"/>
              <w:bidi w:val="0"/>
              <w:spacing w:before="0" w:after="283"/>
              <w:jc w:val="right"/>
              <w:rPr/>
            </w:pPr>
            <w:r>
              <w:rPr/>
              <w:t>13,367</w:t>
            </w:r>
          </w:p>
        </w:tc>
        <w:tc>
          <w:tcPr>
            <w:tcW w:w="318"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21%</w:t>
            </w:r>
          </w:p>
        </w:tc>
      </w:tr>
      <w:tr>
        <w:trPr/>
        <w:tc>
          <w:tcPr>
            <w:tcW w:w="2809" w:type="dxa"/>
            <w:tcBorders/>
            <w:vAlign w:val="center"/>
          </w:tcPr>
          <w:p>
            <w:pPr>
              <w:pStyle w:val="TableContents"/>
              <w:bidi w:val="0"/>
              <w:spacing w:before="0" w:after="283"/>
              <w:jc w:val="left"/>
              <w:rPr/>
            </w:pPr>
            <w:r>
              <w:rPr/>
              <w:t>Less excise taxes</w:t>
            </w:r>
          </w:p>
        </w:tc>
        <w:tc>
          <w:tcPr>
            <w:tcW w:w="398" w:type="dxa"/>
            <w:tcBorders/>
            <w:vAlign w:val="center"/>
          </w:tcPr>
          <w:p>
            <w:pPr>
              <w:pStyle w:val="TableContents"/>
              <w:bidi w:val="0"/>
              <w:spacing w:before="0" w:after="283"/>
              <w:jc w:val="right"/>
              <w:rPr/>
            </w:pPr>
            <w:r>
              <w:rPr/>
              <w:t> </w:t>
            </w:r>
          </w:p>
        </w:tc>
        <w:tc>
          <w:tcPr>
            <w:tcW w:w="1566" w:type="dxa"/>
            <w:tcBorders/>
            <w:vAlign w:val="center"/>
          </w:tcPr>
          <w:p>
            <w:pPr>
              <w:pStyle w:val="TableContents"/>
              <w:bidi w:val="0"/>
              <w:spacing w:before="0" w:after="283"/>
              <w:jc w:val="right"/>
              <w:rPr/>
            </w:pPr>
            <w:r>
              <w:rPr/>
              <w:t>(19,443</w:t>
            </w:r>
          </w:p>
        </w:tc>
        <w:tc>
          <w:tcPr>
            <w:tcW w:w="318" w:type="dxa"/>
            <w:tcBorders/>
            <w:vAlign w:val="center"/>
          </w:tcPr>
          <w:p>
            <w:pPr>
              <w:pStyle w:val="TableContents"/>
              <w:bidi w:val="0"/>
              <w:spacing w:before="0" w:after="283"/>
              <w:jc w:val="left"/>
              <w:rPr/>
            </w:pPr>
            <w:r>
              <w:rPr/>
              <w:t>)</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center"/>
              <w:rPr/>
            </w:pPr>
            <w:r>
              <w:rPr/>
              <w:t>(34)%</w:t>
            </w:r>
          </w:p>
        </w:tc>
        <w:tc>
          <w:tcPr>
            <w:tcW w:w="146" w:type="dxa"/>
            <w:tcBorders/>
            <w:vAlign w:val="center"/>
          </w:tcPr>
          <w:p>
            <w:pPr>
              <w:pStyle w:val="TableContents"/>
              <w:bidi w:val="0"/>
              <w:spacing w:before="0" w:after="283"/>
              <w:jc w:val="right"/>
              <w:rPr/>
            </w:pPr>
            <w:r>
              <w:rPr/>
              <w:t> </w:t>
            </w:r>
          </w:p>
        </w:tc>
        <w:tc>
          <w:tcPr>
            <w:tcW w:w="398" w:type="dxa"/>
            <w:tcBorders/>
            <w:vAlign w:val="center"/>
          </w:tcPr>
          <w:p>
            <w:pPr>
              <w:pStyle w:val="TableContents"/>
              <w:bidi w:val="0"/>
              <w:spacing w:before="0" w:after="283"/>
              <w:jc w:val="right"/>
              <w:rPr/>
            </w:pPr>
            <w:r>
              <w:rPr/>
              <w:t> </w:t>
            </w:r>
          </w:p>
        </w:tc>
        <w:tc>
          <w:tcPr>
            <w:tcW w:w="1565" w:type="dxa"/>
            <w:tcBorders/>
            <w:vAlign w:val="center"/>
          </w:tcPr>
          <w:p>
            <w:pPr>
              <w:pStyle w:val="TableContents"/>
              <w:bidi w:val="0"/>
              <w:spacing w:before="0" w:after="283"/>
              <w:jc w:val="right"/>
              <w:rPr/>
            </w:pPr>
            <w:r>
              <w:rPr/>
              <w:t>(23,224</w:t>
            </w:r>
          </w:p>
        </w:tc>
        <w:tc>
          <w:tcPr>
            <w:tcW w:w="318" w:type="dxa"/>
            <w:tcBorders/>
            <w:vAlign w:val="center"/>
          </w:tcPr>
          <w:p>
            <w:pPr>
              <w:pStyle w:val="TableContents"/>
              <w:bidi w:val="0"/>
              <w:spacing w:before="0" w:after="283"/>
              <w:jc w:val="left"/>
              <w:rPr/>
            </w:pPr>
            <w:r>
              <w:rPr/>
              <w:t>)</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(36)%</w:t>
            </w:r>
          </w:p>
        </w:tc>
      </w:tr>
      <w:tr>
        <w:trPr/>
        <w:tc>
          <w:tcPr>
            <w:tcW w:w="2809" w:type="dxa"/>
            <w:tcBorders/>
            <w:vAlign w:val="center"/>
          </w:tcPr>
          <w:p>
            <w:pPr>
              <w:pStyle w:val="TableContents"/>
              <w:bidi w:val="0"/>
              <w:spacing w:before="0" w:after="283"/>
              <w:jc w:val="left"/>
              <w:rPr/>
            </w:pPr>
            <w:r>
              <w:rPr/>
              <w:t>Total</w:t>
            </w:r>
          </w:p>
        </w:tc>
        <w:tc>
          <w:tcPr>
            <w:tcW w:w="39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5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56,873</w:t>
            </w:r>
          </w:p>
        </w:tc>
        <w:tc>
          <w:tcPr>
            <w:tcW w:w="3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1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center"/>
              <w:rPr/>
            </w:pPr>
            <w:r>
              <w:rPr/>
              <w:t>100%</w:t>
            </w:r>
          </w:p>
        </w:tc>
        <w:tc>
          <w:tcPr>
            <w:tcW w:w="146" w:type="dxa"/>
            <w:tcBorders/>
            <w:vAlign w:val="center"/>
          </w:tcPr>
          <w:p>
            <w:pPr>
              <w:pStyle w:val="TableContents"/>
              <w:bidi w:val="0"/>
              <w:spacing w:before="0" w:after="283"/>
              <w:jc w:val="right"/>
              <w:rPr/>
            </w:pPr>
            <w:r>
              <w:rPr/>
              <w:t> </w:t>
            </w:r>
          </w:p>
        </w:tc>
        <w:tc>
          <w:tcPr>
            <w:tcW w:w="39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56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64,511</w:t>
            </w:r>
          </w:p>
        </w:tc>
        <w:tc>
          <w:tcPr>
            <w:tcW w:w="3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right"/>
              <w:rPr/>
            </w:pPr>
            <w:r>
              <w:rPr/>
              <w:t> </w:t>
            </w:r>
          </w:p>
        </w:tc>
        <w:tc>
          <w:tcPr>
            <w:tcW w:w="121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center"/>
              <w:rPr/>
            </w:pPr>
            <w:r>
              <w:rPr/>
              <w:t>100%</w:t>
            </w:r>
          </w:p>
        </w:tc>
      </w:tr>
      <w:tr>
        <w:trPr/>
        <w:tc>
          <w:tcPr>
            <w:tcW w:w="2809" w:type="dxa"/>
            <w:tcBorders/>
            <w:vAlign w:val="center"/>
          </w:tcPr>
          <w:p>
            <w:pPr>
              <w:pStyle w:val="TableContents"/>
              <w:bidi w:val="0"/>
              <w:spacing w:before="0" w:after="283"/>
              <w:jc w:val="right"/>
              <w:rPr/>
            </w:pPr>
            <w:r>
              <w:rPr/>
              <w:t> </w:t>
            </w:r>
          </w:p>
        </w:tc>
        <w:tc>
          <w:tcPr>
            <w:tcW w:w="2282" w:type="dxa"/>
            <w:gridSpan w:val="3"/>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1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81" w:type="dxa"/>
            <w:gridSpan w:val="3"/>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right"/>
              <w:rPr/>
            </w:pPr>
            <w:r>
              <w:rPr/>
              <w:t> </w:t>
            </w:r>
          </w:p>
        </w:tc>
        <w:tc>
          <w:tcPr>
            <w:tcW w:w="1219"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188"/>
        <w:gridCol w:w="226"/>
        <w:gridCol w:w="886"/>
        <w:gridCol w:w="301"/>
        <w:gridCol w:w="146"/>
        <w:gridCol w:w="226"/>
        <w:gridCol w:w="886"/>
        <w:gridCol w:w="346"/>
      </w:tblGrid>
      <w:tr>
        <w:trPr/>
        <w:tc>
          <w:tcPr>
            <w:tcW w:w="7188" w:type="dxa"/>
            <w:tcBorders/>
            <w:vAlign w:val="center"/>
          </w:tcPr>
          <w:p>
            <w:pPr>
              <w:pStyle w:val="TableContents"/>
              <w:bidi w:val="0"/>
              <w:spacing w:before="0" w:after="283"/>
              <w:jc w:val="left"/>
              <w:rPr/>
            </w:pPr>
            <w:r>
              <w:rPr>
                <w:rStyle w:val="StrongEmphasis"/>
              </w:rPr>
              <w:t>Other Financial Information: Key Operating Metrics</w:t>
            </w:r>
          </w:p>
        </w:tc>
        <w:tc>
          <w:tcPr>
            <w:tcW w:w="14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58" w:type="dxa"/>
            <w:gridSpan w:val="3"/>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283"/>
              <w:jc w:val="right"/>
              <w:rPr/>
            </w:pPr>
            <w:r>
              <w:rPr/>
              <w:t> </w:t>
            </w:r>
          </w:p>
        </w:tc>
        <w:tc>
          <w:tcPr>
            <w:tcW w:w="3017" w:type="dxa"/>
            <w:gridSpan w:val="7"/>
            <w:tcBorders/>
            <w:vAlign w:val="center"/>
          </w:tcPr>
          <w:p>
            <w:pPr>
              <w:pStyle w:val="TableContents"/>
              <w:bidi w:val="0"/>
              <w:spacing w:before="0" w:after="283"/>
              <w:jc w:val="center"/>
              <w:rPr/>
            </w:pPr>
            <w:r>
              <w:rPr>
                <w:rStyle w:val="StrongEmphasis"/>
              </w:rPr>
              <w:t>For the three months ended</w:t>
            </w:r>
          </w:p>
        </w:tc>
      </w:tr>
      <w:tr>
        <w:trPr/>
        <w:tc>
          <w:tcPr>
            <w:tcW w:w="7188"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center"/>
              <w:rPr/>
            </w:pPr>
            <w:r>
              <w:rPr>
                <w:rStyle w:val="StrongEmphasis"/>
              </w:rPr>
              <w:t>August 31,</w:t>
            </w:r>
          </w:p>
        </w:tc>
        <w:tc>
          <w:tcPr>
            <w:tcW w:w="146" w:type="dxa"/>
            <w:tcBorders/>
            <w:vAlign w:val="center"/>
          </w:tcPr>
          <w:p>
            <w:pPr>
              <w:pStyle w:val="TableContents"/>
              <w:bidi w:val="0"/>
              <w:spacing w:before="0" w:after="283"/>
              <w:jc w:val="center"/>
              <w:rPr/>
            </w:pPr>
            <w:r>
              <w:rPr/>
              <w:t> </w:t>
            </w:r>
          </w:p>
        </w:tc>
        <w:tc>
          <w:tcPr>
            <w:tcW w:w="1458" w:type="dxa"/>
            <w:gridSpan w:val="3"/>
            <w:tcBorders/>
            <w:vAlign w:val="center"/>
          </w:tcPr>
          <w:p>
            <w:pPr>
              <w:pStyle w:val="TableContents"/>
              <w:bidi w:val="0"/>
              <w:spacing w:before="0" w:after="283"/>
              <w:jc w:val="center"/>
              <w:rPr/>
            </w:pPr>
            <w:r>
              <w:rPr>
                <w:rStyle w:val="StrongEmphasis"/>
              </w:rPr>
              <w:t>August 31,</w:t>
            </w:r>
          </w:p>
        </w:tc>
      </w:tr>
      <w:tr>
        <w:trPr/>
        <w:tc>
          <w:tcPr>
            <w:tcW w:w="7188" w:type="dxa"/>
            <w:tcBorders/>
            <w:vAlign w:val="center"/>
          </w:tcPr>
          <w:p>
            <w:pPr>
              <w:pStyle w:val="TableContents"/>
              <w:bidi w:val="0"/>
              <w:spacing w:before="0" w:after="283"/>
              <w:jc w:val="left"/>
              <w:rPr/>
            </w:pPr>
            <w:r>
              <w:rPr>
                <w:rStyle w:val="StrongEmphasis"/>
              </w:rPr>
              <w:t>(in thousands of U.S. dollars)</w:t>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14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r>
      <w:tr>
        <w:trPr/>
        <w:tc>
          <w:tcPr>
            <w:tcW w:w="7188" w:type="dxa"/>
            <w:tcBorders/>
            <w:vAlign w:val="center"/>
          </w:tcPr>
          <w:p>
            <w:pPr>
              <w:pStyle w:val="TableContents"/>
              <w:bidi w:val="0"/>
              <w:spacing w:before="0" w:after="283"/>
              <w:jc w:val="left"/>
              <w:rPr/>
            </w:pPr>
            <w:r>
              <w:rPr/>
              <w:t>Net beverage revenue</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101,496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55,739</w:t>
            </w:r>
          </w:p>
        </w:tc>
        <w:tc>
          <w:tcPr>
            <w:tcW w:w="346"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283"/>
              <w:jc w:val="left"/>
              <w:rPr/>
            </w:pPr>
            <w:r>
              <w:rPr/>
              <w:t>Net cannabis revenue</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56,109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64,511</w:t>
            </w:r>
          </w:p>
        </w:tc>
        <w:tc>
          <w:tcPr>
            <w:tcW w:w="346"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283"/>
              <w:jc w:val="left"/>
              <w:rPr/>
            </w:pPr>
            <w:r>
              <w:rPr/>
              <w:t>Distribution revenue</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84,266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74,007</w:t>
            </w:r>
          </w:p>
        </w:tc>
        <w:tc>
          <w:tcPr>
            <w:tcW w:w="346"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283"/>
              <w:jc w:val="left"/>
              <w:rPr/>
            </w:pPr>
            <w:r>
              <w:rPr/>
              <w:t>Wellness revenue</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15,276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15,244</w:t>
            </w:r>
          </w:p>
        </w:tc>
        <w:tc>
          <w:tcPr>
            <w:tcW w:w="346"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283"/>
              <w:jc w:val="left"/>
              <w:rPr/>
            </w:pPr>
            <w:r>
              <w:rPr/>
              <w:t>Beverage costs</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59,489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34,413</w:t>
            </w:r>
          </w:p>
        </w:tc>
        <w:tc>
          <w:tcPr>
            <w:tcW w:w="346"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283"/>
              <w:jc w:val="left"/>
              <w:rPr/>
            </w:pPr>
            <w:r>
              <w:rPr/>
              <w:t>Cannabis costs</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34,087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41,241</w:t>
            </w:r>
          </w:p>
        </w:tc>
        <w:tc>
          <w:tcPr>
            <w:tcW w:w="346"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283"/>
              <w:jc w:val="left"/>
              <w:rPr/>
            </w:pPr>
            <w:r>
              <w:rPr/>
              <w:t>Distribution costs</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75,143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66,008</w:t>
            </w:r>
          </w:p>
        </w:tc>
        <w:tc>
          <w:tcPr>
            <w:tcW w:w="346"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283"/>
              <w:jc w:val="left"/>
              <w:rPr/>
            </w:pPr>
            <w:r>
              <w:rPr/>
              <w:t>Wellness costs</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10,919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10,370</w:t>
            </w:r>
          </w:p>
        </w:tc>
        <w:tc>
          <w:tcPr>
            <w:tcW w:w="346"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283"/>
              <w:jc w:val="left"/>
              <w:rPr/>
            </w:pPr>
            <w:r>
              <w:rPr/>
              <w:t>Gross profit</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77,509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57,469</w:t>
            </w:r>
          </w:p>
        </w:tc>
        <w:tc>
          <w:tcPr>
            <w:tcW w:w="346"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283"/>
              <w:jc w:val="left"/>
              <w:rPr/>
            </w:pPr>
            <w:r>
              <w:rPr/>
              <w:t>Beverage gross margin</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38</w:t>
            </w:r>
          </w:p>
        </w:tc>
        <w:tc>
          <w:tcPr>
            <w:tcW w:w="346" w:type="dxa"/>
            <w:tcBorders/>
            <w:vAlign w:val="center"/>
          </w:tcPr>
          <w:p>
            <w:pPr>
              <w:pStyle w:val="TableContents"/>
              <w:bidi w:val="0"/>
              <w:spacing w:before="0" w:after="283"/>
              <w:jc w:val="left"/>
              <w:rPr/>
            </w:pPr>
            <w:r>
              <w:rPr/>
              <w:t>%</w:t>
            </w:r>
          </w:p>
        </w:tc>
      </w:tr>
      <w:tr>
        <w:trPr/>
        <w:tc>
          <w:tcPr>
            <w:tcW w:w="7188" w:type="dxa"/>
            <w:tcBorders/>
            <w:vAlign w:val="center"/>
          </w:tcPr>
          <w:p>
            <w:pPr>
              <w:pStyle w:val="TableContents"/>
              <w:bidi w:val="0"/>
              <w:spacing w:before="0" w:after="283"/>
              <w:jc w:val="left"/>
              <w:rPr/>
            </w:pPr>
            <w:r>
              <w:rPr/>
              <w:t>Cannabis gross margin</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39</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36</w:t>
            </w:r>
          </w:p>
        </w:tc>
        <w:tc>
          <w:tcPr>
            <w:tcW w:w="346" w:type="dxa"/>
            <w:tcBorders/>
            <w:vAlign w:val="center"/>
          </w:tcPr>
          <w:p>
            <w:pPr>
              <w:pStyle w:val="TableContents"/>
              <w:bidi w:val="0"/>
              <w:spacing w:before="0" w:after="283"/>
              <w:jc w:val="left"/>
              <w:rPr/>
            </w:pPr>
            <w:r>
              <w:rPr/>
              <w:t>%</w:t>
            </w:r>
          </w:p>
        </w:tc>
      </w:tr>
      <w:tr>
        <w:trPr/>
        <w:tc>
          <w:tcPr>
            <w:tcW w:w="7188" w:type="dxa"/>
            <w:tcBorders/>
            <w:vAlign w:val="center"/>
          </w:tcPr>
          <w:p>
            <w:pPr>
              <w:pStyle w:val="TableContents"/>
              <w:bidi w:val="0"/>
              <w:spacing w:before="0" w:after="283"/>
              <w:jc w:val="left"/>
              <w:rPr/>
            </w:pPr>
            <w:r>
              <w:rPr/>
              <w:t>Distribution gross margin</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11</w:t>
            </w:r>
          </w:p>
        </w:tc>
        <w:tc>
          <w:tcPr>
            <w:tcW w:w="346" w:type="dxa"/>
            <w:tcBorders/>
            <w:vAlign w:val="center"/>
          </w:tcPr>
          <w:p>
            <w:pPr>
              <w:pStyle w:val="TableContents"/>
              <w:bidi w:val="0"/>
              <w:spacing w:before="0" w:after="283"/>
              <w:jc w:val="left"/>
              <w:rPr/>
            </w:pPr>
            <w:r>
              <w:rPr/>
              <w:t>%</w:t>
            </w:r>
          </w:p>
        </w:tc>
      </w:tr>
      <w:tr>
        <w:trPr/>
        <w:tc>
          <w:tcPr>
            <w:tcW w:w="7188" w:type="dxa"/>
            <w:tcBorders/>
            <w:vAlign w:val="center"/>
          </w:tcPr>
          <w:p>
            <w:pPr>
              <w:pStyle w:val="TableContents"/>
              <w:bidi w:val="0"/>
              <w:spacing w:before="0" w:after="283"/>
              <w:jc w:val="left"/>
              <w:rPr/>
            </w:pPr>
            <w:r>
              <w:rPr/>
              <w:t>Wellness gross margin</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29</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32</w:t>
            </w:r>
          </w:p>
        </w:tc>
        <w:tc>
          <w:tcPr>
            <w:tcW w:w="346" w:type="dxa"/>
            <w:tcBorders/>
            <w:vAlign w:val="center"/>
          </w:tcPr>
          <w:p>
            <w:pPr>
              <w:pStyle w:val="TableContents"/>
              <w:bidi w:val="0"/>
              <w:spacing w:before="0" w:after="283"/>
              <w:jc w:val="left"/>
              <w:rPr/>
            </w:pPr>
            <w:r>
              <w:rPr/>
              <w:t>%</w:t>
            </w:r>
          </w:p>
        </w:tc>
      </w:tr>
      <w:tr>
        <w:trPr/>
        <w:tc>
          <w:tcPr>
            <w:tcW w:w="7188" w:type="dxa"/>
            <w:tcBorders/>
            <w:vAlign w:val="center"/>
          </w:tcPr>
          <w:p>
            <w:pPr>
              <w:pStyle w:val="TableContents"/>
              <w:bidi w:val="0"/>
              <w:spacing w:before="0" w:after="283"/>
              <w:jc w:val="left"/>
              <w:rPr/>
            </w:pPr>
            <w:r>
              <w:rPr/>
              <w:t>Adjusted EBITDA</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9,205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10,181</w:t>
            </w:r>
          </w:p>
        </w:tc>
        <w:tc>
          <w:tcPr>
            <w:tcW w:w="346"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283"/>
              <w:jc w:val="left"/>
              <w:rPr/>
            </w:pPr>
            <w:r>
              <w:rPr/>
              <w:t>Cash and cash equivalents, restricted cash and marketable securities as at the period ended:</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221,390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264,828</w:t>
            </w:r>
          </w:p>
        </w:tc>
        <w:tc>
          <w:tcPr>
            <w:tcW w:w="346"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283"/>
              <w:jc w:val="left"/>
              <w:rPr/>
            </w:pPr>
            <w:r>
              <w:rPr/>
              <w:t>Working capital as at the period ended:</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376,903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433,508</w:t>
            </w:r>
          </w:p>
        </w:tc>
        <w:tc>
          <w:tcPr>
            <w:tcW w:w="346"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58" w:type="dxa"/>
            <w:gridSpan w:val="3"/>
            <w:tcBorders/>
            <w:vAlign w:val="center"/>
          </w:tcPr>
          <w:p>
            <w:pPr>
              <w:pStyle w:val="TableContents"/>
              <w:bidi w:val="0"/>
              <w:spacing w:before="0" w:after="283"/>
              <w:jc w:val="righ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511"/>
        <w:gridCol w:w="276"/>
        <w:gridCol w:w="1084"/>
        <w:gridCol w:w="368"/>
        <w:gridCol w:w="146"/>
        <w:gridCol w:w="226"/>
        <w:gridCol w:w="766"/>
        <w:gridCol w:w="301"/>
        <w:gridCol w:w="146"/>
        <w:gridCol w:w="233"/>
        <w:gridCol w:w="791"/>
        <w:gridCol w:w="312"/>
        <w:gridCol w:w="146"/>
        <w:gridCol w:w="226"/>
        <w:gridCol w:w="766"/>
        <w:gridCol w:w="301"/>
        <w:gridCol w:w="146"/>
        <w:gridCol w:w="226"/>
        <w:gridCol w:w="886"/>
        <w:gridCol w:w="348"/>
      </w:tblGrid>
      <w:tr>
        <w:trPr/>
        <w:tc>
          <w:tcPr>
            <w:tcW w:w="4239" w:type="dxa"/>
            <w:gridSpan w:val="4"/>
            <w:tcBorders/>
            <w:vAlign w:val="center"/>
          </w:tcPr>
          <w:p>
            <w:pPr>
              <w:pStyle w:val="TableContents"/>
              <w:bidi w:val="0"/>
              <w:spacing w:before="0" w:after="283"/>
              <w:jc w:val="left"/>
              <w:rPr/>
            </w:pPr>
            <w:r>
              <w:rPr>
                <w:rStyle w:val="StrongEmphasis"/>
              </w:rPr>
              <w:t>Other Financial Information: Gross Margin and Adjusted Gross Margin</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3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460" w:type="dxa"/>
            <w:gridSpan w:val="3"/>
            <w:tcBorders/>
            <w:vAlign w:val="center"/>
          </w:tcPr>
          <w:p>
            <w:pPr>
              <w:pStyle w:val="TableContents"/>
              <w:bidi w:val="0"/>
              <w:spacing w:before="0" w:after="283"/>
              <w:jc w:val="right"/>
              <w:rPr/>
            </w:pPr>
            <w:r>
              <w:rPr/>
              <w:t> </w:t>
            </w:r>
          </w:p>
        </w:tc>
      </w:tr>
      <w:tr>
        <w:trPr/>
        <w:tc>
          <w:tcPr>
            <w:tcW w:w="2511" w:type="dxa"/>
            <w:tcBorders/>
            <w:vAlign w:val="center"/>
          </w:tcPr>
          <w:p>
            <w:pPr>
              <w:pStyle w:val="TableContents"/>
              <w:bidi w:val="0"/>
              <w:spacing w:before="0" w:after="283"/>
              <w:jc w:val="right"/>
              <w:rPr/>
            </w:pPr>
            <w:r>
              <w:rPr/>
              <w:t> </w:t>
            </w:r>
          </w:p>
        </w:tc>
        <w:tc>
          <w:tcPr>
            <w:tcW w:w="7694" w:type="dxa"/>
            <w:gridSpan w:val="19"/>
            <w:tcBorders/>
            <w:vAlign w:val="center"/>
          </w:tcPr>
          <w:p>
            <w:pPr>
              <w:pStyle w:val="TableContents"/>
              <w:bidi w:val="0"/>
              <w:spacing w:before="0" w:after="283"/>
              <w:jc w:val="center"/>
              <w:rPr/>
            </w:pPr>
            <w:r>
              <w:rPr>
                <w:rStyle w:val="StrongEmphasis"/>
              </w:rPr>
              <w:t>For the three months ended August 31, 2026</w:t>
            </w:r>
          </w:p>
        </w:tc>
      </w:tr>
      <w:tr>
        <w:trPr/>
        <w:tc>
          <w:tcPr>
            <w:tcW w:w="2511" w:type="dxa"/>
            <w:tcBorders/>
            <w:vAlign w:val="center"/>
          </w:tcPr>
          <w:p>
            <w:pPr>
              <w:pStyle w:val="TableContents"/>
              <w:bidi w:val="0"/>
              <w:spacing w:before="0" w:after="283"/>
              <w:jc w:val="left"/>
              <w:rPr/>
            </w:pPr>
            <w:r>
              <w:rPr>
                <w:rStyle w:val="StrongEmphasis"/>
              </w:rPr>
              <w:t>(In thousands of U.S. dollars)</w:t>
            </w:r>
          </w:p>
        </w:tc>
        <w:tc>
          <w:tcPr>
            <w:tcW w:w="172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Beverage</w:t>
            </w:r>
          </w:p>
        </w:tc>
        <w:tc>
          <w:tcPr>
            <w:tcW w:w="146" w:type="dxa"/>
            <w:tcBorders/>
            <w:vAlign w:val="center"/>
          </w:tcPr>
          <w:p>
            <w:pPr>
              <w:pStyle w:val="TableContents"/>
              <w:bidi w:val="0"/>
              <w:spacing w:before="0" w:after="283"/>
              <w:jc w:val="right"/>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Cannabis</w:t>
            </w:r>
          </w:p>
        </w:tc>
        <w:tc>
          <w:tcPr>
            <w:tcW w:w="146" w:type="dxa"/>
            <w:tcBorders/>
            <w:vAlign w:val="center"/>
          </w:tcPr>
          <w:p>
            <w:pPr>
              <w:pStyle w:val="TableContents"/>
              <w:bidi w:val="0"/>
              <w:spacing w:before="0" w:after="283"/>
              <w:jc w:val="center"/>
              <w:rPr/>
            </w:pPr>
            <w:r>
              <w:rPr/>
              <w:t> </w:t>
            </w:r>
          </w:p>
        </w:tc>
        <w:tc>
          <w:tcPr>
            <w:tcW w:w="133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Distribution</w:t>
            </w:r>
          </w:p>
        </w:tc>
        <w:tc>
          <w:tcPr>
            <w:tcW w:w="146" w:type="dxa"/>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Wellness</w:t>
            </w:r>
          </w:p>
        </w:tc>
        <w:tc>
          <w:tcPr>
            <w:tcW w:w="146" w:type="dxa"/>
            <w:tcBorders/>
            <w:vAlign w:val="center"/>
          </w:tcPr>
          <w:p>
            <w:pPr>
              <w:pStyle w:val="TableContents"/>
              <w:bidi w:val="0"/>
              <w:spacing w:before="0" w:after="283"/>
              <w:jc w:val="center"/>
              <w:rPr/>
            </w:pPr>
            <w:r>
              <w:rPr/>
              <w:t> </w:t>
            </w:r>
          </w:p>
        </w:tc>
        <w:tc>
          <w:tcPr>
            <w:tcW w:w="146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Total</w:t>
            </w:r>
          </w:p>
        </w:tc>
      </w:tr>
      <w:tr>
        <w:trPr/>
        <w:tc>
          <w:tcPr>
            <w:tcW w:w="2511" w:type="dxa"/>
            <w:tcBorders/>
            <w:vAlign w:val="center"/>
          </w:tcPr>
          <w:p>
            <w:pPr>
              <w:pStyle w:val="TableContents"/>
              <w:bidi w:val="0"/>
              <w:spacing w:before="0" w:after="283"/>
              <w:jc w:val="left"/>
              <w:rPr/>
            </w:pPr>
            <w:r>
              <w:rPr/>
              <w:t>Net revenue</w:t>
            </w:r>
          </w:p>
        </w:tc>
        <w:tc>
          <w:tcPr>
            <w:tcW w:w="276" w:type="dxa"/>
            <w:tcBorders/>
            <w:vAlign w:val="center"/>
          </w:tcPr>
          <w:p>
            <w:pPr>
              <w:pStyle w:val="TableContents"/>
              <w:bidi w:val="0"/>
              <w:spacing w:before="0" w:after="283"/>
              <w:jc w:val="right"/>
              <w:rPr/>
            </w:pPr>
            <w:r>
              <w:rPr/>
              <w:t>$</w:t>
            </w:r>
          </w:p>
        </w:tc>
        <w:tc>
          <w:tcPr>
            <w:tcW w:w="1084" w:type="dxa"/>
            <w:tcBorders/>
            <w:vAlign w:val="center"/>
          </w:tcPr>
          <w:p>
            <w:pPr>
              <w:pStyle w:val="TableContents"/>
              <w:bidi w:val="0"/>
              <w:spacing w:before="0" w:after="283"/>
              <w:jc w:val="right"/>
              <w:rPr/>
            </w:pPr>
            <w:r>
              <w:rPr/>
              <w:t>101,496</w:t>
            </w:r>
          </w:p>
        </w:tc>
        <w:tc>
          <w:tcPr>
            <w:tcW w:w="36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56,109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33" w:type="dxa"/>
            <w:tcBorders/>
            <w:vAlign w:val="center"/>
          </w:tcPr>
          <w:p>
            <w:pPr>
              <w:pStyle w:val="TableContents"/>
              <w:bidi w:val="0"/>
              <w:spacing w:before="0" w:after="283"/>
              <w:jc w:val="right"/>
              <w:rPr/>
            </w:pPr>
            <w:r>
              <w:rPr/>
              <w:t>$</w:t>
            </w:r>
          </w:p>
        </w:tc>
        <w:tc>
          <w:tcPr>
            <w:tcW w:w="791" w:type="dxa"/>
            <w:tcBorders/>
            <w:vAlign w:val="center"/>
          </w:tcPr>
          <w:p>
            <w:pPr>
              <w:pStyle w:val="TableContents"/>
              <w:bidi w:val="0"/>
              <w:spacing w:before="0" w:after="283"/>
              <w:jc w:val="right"/>
              <w:rPr/>
            </w:pPr>
            <w:r>
              <w:rPr/>
              <w:t>84,266</w:t>
            </w:r>
          </w:p>
        </w:tc>
        <w:tc>
          <w:tcPr>
            <w:tcW w:w="3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15,276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257,147</w:t>
            </w:r>
          </w:p>
        </w:tc>
        <w:tc>
          <w:tcPr>
            <w:tcW w:w="348" w:type="dxa"/>
            <w:tcBorders/>
            <w:vAlign w:val="center"/>
          </w:tcPr>
          <w:p>
            <w:pPr>
              <w:pStyle w:val="TableContents"/>
              <w:bidi w:val="0"/>
              <w:spacing w:before="0" w:after="283"/>
              <w:jc w:val="left"/>
              <w:rPr/>
            </w:pPr>
            <w:r>
              <w:rPr/>
              <w:t> </w:t>
            </w:r>
          </w:p>
        </w:tc>
      </w:tr>
      <w:tr>
        <w:trPr/>
        <w:tc>
          <w:tcPr>
            <w:tcW w:w="2511" w:type="dxa"/>
            <w:tcBorders/>
            <w:vAlign w:val="center"/>
          </w:tcPr>
          <w:p>
            <w:pPr>
              <w:pStyle w:val="TableContents"/>
              <w:bidi w:val="0"/>
              <w:spacing w:before="0" w:after="283"/>
              <w:jc w:val="left"/>
              <w:rPr/>
            </w:pPr>
            <w:r>
              <w:rPr/>
              <w:t>Cost of goods sold</w:t>
            </w:r>
          </w:p>
        </w:tc>
        <w:tc>
          <w:tcPr>
            <w:tcW w:w="27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8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59,489</w:t>
            </w:r>
          </w:p>
        </w:tc>
        <w:tc>
          <w:tcPr>
            <w:tcW w:w="36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34,087</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75,143</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10,919</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179,638</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11" w:type="dxa"/>
            <w:tcBorders/>
            <w:vAlign w:val="center"/>
          </w:tcPr>
          <w:p>
            <w:pPr>
              <w:pStyle w:val="TableContents"/>
              <w:bidi w:val="0"/>
              <w:spacing w:before="0" w:after="283"/>
              <w:jc w:val="left"/>
              <w:rPr/>
            </w:pPr>
            <w:r>
              <w:rPr/>
              <w:t>Gross profit</w:t>
            </w:r>
          </w:p>
        </w:tc>
        <w:tc>
          <w:tcPr>
            <w:tcW w:w="2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8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42,007</w:t>
            </w:r>
          </w:p>
        </w:tc>
        <w:tc>
          <w:tcPr>
            <w:tcW w:w="3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22,022</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7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9,123</w:t>
            </w:r>
          </w:p>
        </w:tc>
        <w:tc>
          <w:tcPr>
            <w:tcW w:w="3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4,357</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77,509</w:t>
            </w:r>
          </w:p>
        </w:tc>
        <w:tc>
          <w:tcPr>
            <w:tcW w:w="3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2511" w:type="dxa"/>
            <w:tcBorders/>
            <w:vAlign w:val="center"/>
          </w:tcPr>
          <w:p>
            <w:pPr>
              <w:pStyle w:val="TableContents"/>
              <w:bidi w:val="0"/>
              <w:spacing w:before="0" w:after="283"/>
              <w:jc w:val="left"/>
              <w:rPr/>
            </w:pPr>
            <w:r>
              <w:rPr/>
              <w:t>Gross margin</w:t>
            </w:r>
          </w:p>
        </w:tc>
        <w:tc>
          <w:tcPr>
            <w:tcW w:w="27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108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41</w:t>
            </w:r>
          </w:p>
        </w:tc>
        <w:tc>
          <w:tcPr>
            <w:tcW w:w="36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39</w:t>
            </w:r>
          </w:p>
        </w:tc>
        <w:tc>
          <w:tcPr>
            <w:tcW w:w="3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3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7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w:t>
            </w:r>
          </w:p>
        </w:tc>
        <w:tc>
          <w:tcPr>
            <w:tcW w:w="3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29</w:t>
            </w:r>
          </w:p>
        </w:tc>
        <w:tc>
          <w:tcPr>
            <w:tcW w:w="3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30</w:t>
            </w:r>
          </w:p>
        </w:tc>
        <w:tc>
          <w:tcPr>
            <w:tcW w:w="3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2511" w:type="dxa"/>
            <w:tcBorders/>
            <w:vAlign w:val="center"/>
          </w:tcPr>
          <w:p>
            <w:pPr>
              <w:pStyle w:val="TableContents"/>
              <w:bidi w:val="0"/>
              <w:spacing w:before="0" w:after="283"/>
              <w:jc w:val="right"/>
              <w:rPr/>
            </w:pPr>
            <w:r>
              <w:rPr/>
              <w:t> </w:t>
            </w:r>
          </w:p>
        </w:tc>
        <w:tc>
          <w:tcPr>
            <w:tcW w:w="1728"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36"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0" w:type="dxa"/>
            <w:gridSpan w:val="3"/>
            <w:tcBorders/>
            <w:vAlign w:val="center"/>
          </w:tcPr>
          <w:p>
            <w:pPr>
              <w:pStyle w:val="TableContents"/>
              <w:bidi w:val="0"/>
              <w:spacing w:before="0" w:after="283"/>
              <w:jc w:val="center"/>
              <w:rPr/>
            </w:pPr>
            <w:r>
              <w:rPr/>
              <w:t> </w:t>
            </w:r>
          </w:p>
        </w:tc>
      </w:tr>
      <w:tr>
        <w:trPr/>
        <w:tc>
          <w:tcPr>
            <w:tcW w:w="2511" w:type="dxa"/>
            <w:tcBorders/>
            <w:vAlign w:val="center"/>
          </w:tcPr>
          <w:p>
            <w:pPr>
              <w:pStyle w:val="TableContents"/>
              <w:bidi w:val="0"/>
              <w:spacing w:before="0" w:after="283"/>
              <w:jc w:val="right"/>
              <w:rPr/>
            </w:pPr>
            <w:r>
              <w:rPr/>
              <w:t> </w:t>
            </w:r>
          </w:p>
        </w:tc>
        <w:tc>
          <w:tcPr>
            <w:tcW w:w="7694" w:type="dxa"/>
            <w:gridSpan w:val="19"/>
            <w:tcBorders/>
            <w:vAlign w:val="center"/>
          </w:tcPr>
          <w:p>
            <w:pPr>
              <w:pStyle w:val="TableContents"/>
              <w:bidi w:val="0"/>
              <w:spacing w:before="0" w:after="283"/>
              <w:jc w:val="center"/>
              <w:rPr/>
            </w:pPr>
            <w:r>
              <w:rPr>
                <w:rStyle w:val="StrongEmphasis"/>
              </w:rPr>
              <w:t>For the three months ended August 31, 2025</w:t>
            </w:r>
          </w:p>
        </w:tc>
      </w:tr>
      <w:tr>
        <w:trPr/>
        <w:tc>
          <w:tcPr>
            <w:tcW w:w="2511" w:type="dxa"/>
            <w:tcBorders/>
            <w:vAlign w:val="center"/>
          </w:tcPr>
          <w:p>
            <w:pPr>
              <w:pStyle w:val="TableContents"/>
              <w:bidi w:val="0"/>
              <w:spacing w:before="0" w:after="283"/>
              <w:jc w:val="left"/>
              <w:rPr/>
            </w:pPr>
            <w:r>
              <w:rPr>
                <w:rStyle w:val="StrongEmphasis"/>
              </w:rPr>
              <w:t>(In thousands of U.S. dollars)</w:t>
            </w:r>
          </w:p>
        </w:tc>
        <w:tc>
          <w:tcPr>
            <w:tcW w:w="172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Beverage</w:t>
            </w:r>
          </w:p>
        </w:tc>
        <w:tc>
          <w:tcPr>
            <w:tcW w:w="146" w:type="dxa"/>
            <w:tcBorders/>
            <w:vAlign w:val="center"/>
          </w:tcPr>
          <w:p>
            <w:pPr>
              <w:pStyle w:val="TableContents"/>
              <w:bidi w:val="0"/>
              <w:spacing w:before="0" w:after="283"/>
              <w:jc w:val="right"/>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Cannabis</w:t>
            </w:r>
          </w:p>
        </w:tc>
        <w:tc>
          <w:tcPr>
            <w:tcW w:w="146" w:type="dxa"/>
            <w:tcBorders/>
            <w:vAlign w:val="center"/>
          </w:tcPr>
          <w:p>
            <w:pPr>
              <w:pStyle w:val="TableContents"/>
              <w:bidi w:val="0"/>
              <w:spacing w:before="0" w:after="283"/>
              <w:jc w:val="center"/>
              <w:rPr/>
            </w:pPr>
            <w:r>
              <w:rPr/>
              <w:t> </w:t>
            </w:r>
          </w:p>
        </w:tc>
        <w:tc>
          <w:tcPr>
            <w:tcW w:w="133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Distribution</w:t>
            </w:r>
          </w:p>
        </w:tc>
        <w:tc>
          <w:tcPr>
            <w:tcW w:w="146" w:type="dxa"/>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Wellness</w:t>
            </w:r>
          </w:p>
        </w:tc>
        <w:tc>
          <w:tcPr>
            <w:tcW w:w="146" w:type="dxa"/>
            <w:tcBorders/>
            <w:vAlign w:val="center"/>
          </w:tcPr>
          <w:p>
            <w:pPr>
              <w:pStyle w:val="TableContents"/>
              <w:bidi w:val="0"/>
              <w:spacing w:before="0" w:after="283"/>
              <w:jc w:val="center"/>
              <w:rPr/>
            </w:pPr>
            <w:r>
              <w:rPr/>
              <w:t> </w:t>
            </w:r>
          </w:p>
        </w:tc>
        <w:tc>
          <w:tcPr>
            <w:tcW w:w="146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Total</w:t>
            </w:r>
          </w:p>
        </w:tc>
      </w:tr>
      <w:tr>
        <w:trPr/>
        <w:tc>
          <w:tcPr>
            <w:tcW w:w="2511" w:type="dxa"/>
            <w:tcBorders/>
            <w:vAlign w:val="center"/>
          </w:tcPr>
          <w:p>
            <w:pPr>
              <w:pStyle w:val="TableContents"/>
              <w:bidi w:val="0"/>
              <w:spacing w:before="0" w:after="283"/>
              <w:jc w:val="left"/>
              <w:rPr/>
            </w:pPr>
            <w:r>
              <w:rPr/>
              <w:t>Net revenue</w:t>
            </w:r>
          </w:p>
        </w:tc>
        <w:tc>
          <w:tcPr>
            <w:tcW w:w="276" w:type="dxa"/>
            <w:tcBorders/>
            <w:vAlign w:val="center"/>
          </w:tcPr>
          <w:p>
            <w:pPr>
              <w:pStyle w:val="TableContents"/>
              <w:bidi w:val="0"/>
              <w:spacing w:before="0" w:after="283"/>
              <w:jc w:val="right"/>
              <w:rPr/>
            </w:pPr>
            <w:r>
              <w:rPr/>
              <w:t>$</w:t>
            </w:r>
          </w:p>
        </w:tc>
        <w:tc>
          <w:tcPr>
            <w:tcW w:w="1084" w:type="dxa"/>
            <w:tcBorders/>
            <w:vAlign w:val="center"/>
          </w:tcPr>
          <w:p>
            <w:pPr>
              <w:pStyle w:val="TableContents"/>
              <w:bidi w:val="0"/>
              <w:spacing w:before="0" w:after="283"/>
              <w:jc w:val="right"/>
              <w:rPr/>
            </w:pPr>
            <w:r>
              <w:rPr/>
              <w:t>55,739</w:t>
            </w:r>
          </w:p>
        </w:tc>
        <w:tc>
          <w:tcPr>
            <w:tcW w:w="36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64,511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33" w:type="dxa"/>
            <w:tcBorders/>
            <w:vAlign w:val="center"/>
          </w:tcPr>
          <w:p>
            <w:pPr>
              <w:pStyle w:val="TableContents"/>
              <w:bidi w:val="0"/>
              <w:spacing w:before="0" w:after="283"/>
              <w:jc w:val="right"/>
              <w:rPr/>
            </w:pPr>
            <w:r>
              <w:rPr/>
              <w:t>$</w:t>
            </w:r>
          </w:p>
        </w:tc>
        <w:tc>
          <w:tcPr>
            <w:tcW w:w="791" w:type="dxa"/>
            <w:tcBorders/>
            <w:vAlign w:val="center"/>
          </w:tcPr>
          <w:p>
            <w:pPr>
              <w:pStyle w:val="TableContents"/>
              <w:bidi w:val="0"/>
              <w:spacing w:before="0" w:after="283"/>
              <w:jc w:val="right"/>
              <w:rPr/>
            </w:pPr>
            <w:r>
              <w:rPr/>
              <w:t>74,007</w:t>
            </w:r>
          </w:p>
        </w:tc>
        <w:tc>
          <w:tcPr>
            <w:tcW w:w="3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15,244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209,501</w:t>
            </w:r>
          </w:p>
        </w:tc>
        <w:tc>
          <w:tcPr>
            <w:tcW w:w="348" w:type="dxa"/>
            <w:tcBorders/>
            <w:vAlign w:val="center"/>
          </w:tcPr>
          <w:p>
            <w:pPr>
              <w:pStyle w:val="TableContents"/>
              <w:bidi w:val="0"/>
              <w:spacing w:before="0" w:after="283"/>
              <w:jc w:val="left"/>
              <w:rPr/>
            </w:pPr>
            <w:r>
              <w:rPr/>
              <w:t> </w:t>
            </w:r>
          </w:p>
        </w:tc>
      </w:tr>
      <w:tr>
        <w:trPr/>
        <w:tc>
          <w:tcPr>
            <w:tcW w:w="2511" w:type="dxa"/>
            <w:tcBorders/>
            <w:vAlign w:val="center"/>
          </w:tcPr>
          <w:p>
            <w:pPr>
              <w:pStyle w:val="TableContents"/>
              <w:bidi w:val="0"/>
              <w:spacing w:before="0" w:after="283"/>
              <w:jc w:val="left"/>
              <w:rPr/>
            </w:pPr>
            <w:r>
              <w:rPr/>
              <w:t>Cost of goods sold</w:t>
            </w:r>
          </w:p>
        </w:tc>
        <w:tc>
          <w:tcPr>
            <w:tcW w:w="27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8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34,413</w:t>
            </w:r>
          </w:p>
        </w:tc>
        <w:tc>
          <w:tcPr>
            <w:tcW w:w="36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41,241</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66,008</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10,370</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152,032</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11" w:type="dxa"/>
            <w:tcBorders/>
            <w:vAlign w:val="center"/>
          </w:tcPr>
          <w:p>
            <w:pPr>
              <w:pStyle w:val="TableContents"/>
              <w:bidi w:val="0"/>
              <w:spacing w:before="0" w:after="283"/>
              <w:jc w:val="left"/>
              <w:rPr/>
            </w:pPr>
            <w:r>
              <w:rPr/>
              <w:t>Gross profit</w:t>
            </w:r>
          </w:p>
        </w:tc>
        <w:tc>
          <w:tcPr>
            <w:tcW w:w="2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8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21,326</w:t>
            </w:r>
          </w:p>
        </w:tc>
        <w:tc>
          <w:tcPr>
            <w:tcW w:w="3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23,270</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7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7,999</w:t>
            </w:r>
          </w:p>
        </w:tc>
        <w:tc>
          <w:tcPr>
            <w:tcW w:w="3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4,874</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57,469</w:t>
            </w:r>
          </w:p>
        </w:tc>
        <w:tc>
          <w:tcPr>
            <w:tcW w:w="3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2511" w:type="dxa"/>
            <w:tcBorders/>
            <w:vAlign w:val="center"/>
          </w:tcPr>
          <w:p>
            <w:pPr>
              <w:pStyle w:val="TableContents"/>
              <w:bidi w:val="0"/>
              <w:spacing w:before="0" w:after="283"/>
              <w:jc w:val="left"/>
              <w:rPr/>
            </w:pPr>
            <w:r>
              <w:rPr/>
              <w:t>Gross margin</w:t>
            </w:r>
          </w:p>
        </w:tc>
        <w:tc>
          <w:tcPr>
            <w:tcW w:w="27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108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38</w:t>
            </w:r>
          </w:p>
        </w:tc>
        <w:tc>
          <w:tcPr>
            <w:tcW w:w="36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36</w:t>
            </w:r>
          </w:p>
        </w:tc>
        <w:tc>
          <w:tcPr>
            <w:tcW w:w="3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3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7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w:t>
            </w:r>
          </w:p>
        </w:tc>
        <w:tc>
          <w:tcPr>
            <w:tcW w:w="3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32</w:t>
            </w:r>
          </w:p>
        </w:tc>
        <w:tc>
          <w:tcPr>
            <w:tcW w:w="3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w:t>
            </w:r>
          </w:p>
        </w:tc>
        <w:tc>
          <w:tcPr>
            <w:tcW w:w="3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2511" w:type="dxa"/>
            <w:tcBorders/>
            <w:vAlign w:val="center"/>
          </w:tcPr>
          <w:p>
            <w:pPr>
              <w:pStyle w:val="TableContents"/>
              <w:bidi w:val="0"/>
              <w:spacing w:before="0" w:after="283"/>
              <w:jc w:val="right"/>
              <w:rPr/>
            </w:pPr>
            <w:r>
              <w:rPr/>
              <w:t> </w:t>
            </w:r>
          </w:p>
        </w:tc>
        <w:tc>
          <w:tcPr>
            <w:tcW w:w="1728"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36"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0" w:type="dxa"/>
            <w:gridSpan w:val="3"/>
            <w:tcBorders/>
            <w:vAlign w:val="center"/>
          </w:tcPr>
          <w:p>
            <w:pPr>
              <w:pStyle w:val="TableContents"/>
              <w:bidi w:val="0"/>
              <w:spacing w:before="0" w:after="283"/>
              <w:jc w:val="center"/>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4509"/>
        <w:gridCol w:w="245"/>
        <w:gridCol w:w="912"/>
        <w:gridCol w:w="195"/>
        <w:gridCol w:w="157"/>
        <w:gridCol w:w="245"/>
        <w:gridCol w:w="912"/>
        <w:gridCol w:w="195"/>
        <w:gridCol w:w="149"/>
        <w:gridCol w:w="232"/>
        <w:gridCol w:w="864"/>
        <w:gridCol w:w="185"/>
        <w:gridCol w:w="146"/>
        <w:gridCol w:w="836"/>
        <w:gridCol w:w="423"/>
      </w:tblGrid>
      <w:tr>
        <w:trPr/>
        <w:tc>
          <w:tcPr>
            <w:tcW w:w="7370" w:type="dxa"/>
            <w:gridSpan w:val="8"/>
            <w:tcBorders/>
            <w:vAlign w:val="center"/>
          </w:tcPr>
          <w:p>
            <w:pPr>
              <w:pStyle w:val="TableContents"/>
              <w:bidi w:val="0"/>
              <w:spacing w:before="0" w:after="283"/>
              <w:jc w:val="left"/>
              <w:rPr/>
            </w:pPr>
            <w:r>
              <w:rPr>
                <w:rStyle w:val="StrongEmphasis"/>
              </w:rPr>
              <w:t>Other Financial Information: Adjusted Earnings Before Interest, Taxes and Amortization</w:t>
            </w:r>
          </w:p>
        </w:tc>
        <w:tc>
          <w:tcPr>
            <w:tcW w:w="149" w:type="dxa"/>
            <w:tcBorders/>
            <w:vAlign w:val="center"/>
          </w:tcPr>
          <w:p>
            <w:pPr>
              <w:pStyle w:val="TableContents"/>
              <w:bidi w:val="0"/>
              <w:spacing w:before="0" w:after="283"/>
              <w:jc w:val="left"/>
              <w:rPr/>
            </w:pPr>
            <w:r>
              <w:rPr/>
              <w:t> </w:t>
            </w:r>
          </w:p>
        </w:tc>
        <w:tc>
          <w:tcPr>
            <w:tcW w:w="128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9" w:type="dxa"/>
            <w:gridSpan w:val="2"/>
            <w:tcBorders/>
            <w:vAlign w:val="center"/>
          </w:tcPr>
          <w:p>
            <w:pPr>
              <w:pStyle w:val="TableContents"/>
              <w:bidi w:val="0"/>
              <w:spacing w:before="0" w:after="283"/>
              <w:jc w:val="left"/>
              <w:rPr/>
            </w:pPr>
            <w:r>
              <w:rPr/>
              <w:t> </w:t>
            </w:r>
          </w:p>
        </w:tc>
      </w:tr>
      <w:tr>
        <w:trPr/>
        <w:tc>
          <w:tcPr>
            <w:tcW w:w="4509" w:type="dxa"/>
            <w:tcBorders/>
            <w:vAlign w:val="center"/>
          </w:tcPr>
          <w:p>
            <w:pPr>
              <w:pStyle w:val="TableContents"/>
              <w:bidi w:val="0"/>
              <w:spacing w:before="0" w:after="283"/>
              <w:jc w:val="right"/>
              <w:rPr/>
            </w:pPr>
            <w:r>
              <w:rPr/>
              <w:t> </w:t>
            </w:r>
          </w:p>
        </w:tc>
        <w:tc>
          <w:tcPr>
            <w:tcW w:w="2861" w:type="dxa"/>
            <w:gridSpan w:val="7"/>
            <w:tcBorders/>
            <w:vAlign w:val="center"/>
          </w:tcPr>
          <w:p>
            <w:pPr>
              <w:pStyle w:val="TableContents"/>
              <w:bidi w:val="0"/>
              <w:spacing w:before="0" w:after="283"/>
              <w:jc w:val="center"/>
              <w:rPr/>
            </w:pPr>
            <w:r>
              <w:rPr>
                <w:rStyle w:val="StrongEmphasis"/>
              </w:rPr>
              <w:t>For the three months ended</w:t>
            </w:r>
          </w:p>
        </w:tc>
        <w:tc>
          <w:tcPr>
            <w:tcW w:w="149" w:type="dxa"/>
            <w:tcBorders/>
            <w:vAlign w:val="center"/>
          </w:tcPr>
          <w:p>
            <w:pPr>
              <w:pStyle w:val="TableContents"/>
              <w:bidi w:val="0"/>
              <w:spacing w:before="0" w:after="283"/>
              <w:jc w:val="right"/>
              <w:rPr/>
            </w:pPr>
            <w:r>
              <w:rPr/>
              <w:t> </w:t>
            </w:r>
          </w:p>
        </w:tc>
        <w:tc>
          <w:tcPr>
            <w:tcW w:w="1281"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59" w:type="dxa"/>
            <w:gridSpan w:val="2"/>
            <w:tcBorders/>
            <w:vAlign w:val="center"/>
          </w:tcPr>
          <w:p>
            <w:pPr>
              <w:pStyle w:val="TableContents"/>
              <w:bidi w:val="0"/>
              <w:spacing w:before="0" w:after="283"/>
              <w:jc w:val="right"/>
              <w:rPr/>
            </w:pPr>
            <w:r>
              <w:rPr/>
              <w:t> </w:t>
            </w:r>
          </w:p>
        </w:tc>
      </w:tr>
      <w:tr>
        <w:trPr/>
        <w:tc>
          <w:tcPr>
            <w:tcW w:w="4509" w:type="dxa"/>
            <w:tcBorders/>
            <w:vAlign w:val="center"/>
          </w:tcPr>
          <w:p>
            <w:pPr>
              <w:pStyle w:val="TableContents"/>
              <w:bidi w:val="0"/>
              <w:spacing w:before="0" w:after="283"/>
              <w:jc w:val="left"/>
              <w:rPr/>
            </w:pPr>
            <w:r>
              <w:rPr/>
              <w:t> </w:t>
            </w:r>
          </w:p>
        </w:tc>
        <w:tc>
          <w:tcPr>
            <w:tcW w:w="1352" w:type="dxa"/>
            <w:gridSpan w:val="3"/>
            <w:tcBorders/>
            <w:vAlign w:val="center"/>
          </w:tcPr>
          <w:p>
            <w:pPr>
              <w:pStyle w:val="TableContents"/>
              <w:bidi w:val="0"/>
              <w:spacing w:before="0" w:after="283"/>
              <w:jc w:val="center"/>
              <w:rPr/>
            </w:pPr>
            <w:r>
              <w:rPr>
                <w:rStyle w:val="StrongEmphasis"/>
              </w:rPr>
              <w:t>August 31,</w:t>
            </w:r>
          </w:p>
        </w:tc>
        <w:tc>
          <w:tcPr>
            <w:tcW w:w="157" w:type="dxa"/>
            <w:tcBorders/>
            <w:vAlign w:val="center"/>
          </w:tcPr>
          <w:p>
            <w:pPr>
              <w:pStyle w:val="TableContents"/>
              <w:bidi w:val="0"/>
              <w:spacing w:before="0" w:after="283"/>
              <w:jc w:val="center"/>
              <w:rPr/>
            </w:pPr>
            <w:r>
              <w:rPr/>
              <w:t> </w:t>
            </w:r>
          </w:p>
        </w:tc>
        <w:tc>
          <w:tcPr>
            <w:tcW w:w="1352" w:type="dxa"/>
            <w:gridSpan w:val="3"/>
            <w:tcBorders/>
            <w:vAlign w:val="center"/>
          </w:tcPr>
          <w:p>
            <w:pPr>
              <w:pStyle w:val="TableContents"/>
              <w:bidi w:val="0"/>
              <w:spacing w:before="0" w:after="283"/>
              <w:jc w:val="center"/>
              <w:rPr/>
            </w:pPr>
            <w:r>
              <w:rPr>
                <w:rStyle w:val="StrongEmphasis"/>
              </w:rPr>
              <w:t>August 31,</w:t>
            </w:r>
          </w:p>
        </w:tc>
        <w:tc>
          <w:tcPr>
            <w:tcW w:w="149" w:type="dxa"/>
            <w:tcBorders/>
            <w:vAlign w:val="center"/>
          </w:tcPr>
          <w:p>
            <w:pPr>
              <w:pStyle w:val="TableContents"/>
              <w:bidi w:val="0"/>
              <w:spacing w:before="0" w:after="283"/>
              <w:jc w:val="right"/>
              <w:rPr/>
            </w:pPr>
            <w:r>
              <w:rPr/>
              <w:t> </w:t>
            </w:r>
          </w:p>
        </w:tc>
        <w:tc>
          <w:tcPr>
            <w:tcW w:w="1281" w:type="dxa"/>
            <w:gridSpan w:val="3"/>
            <w:tcBorders/>
            <w:vAlign w:val="center"/>
          </w:tcPr>
          <w:p>
            <w:pPr>
              <w:pStyle w:val="TableContents"/>
              <w:bidi w:val="0"/>
              <w:spacing w:before="0" w:after="283"/>
              <w:jc w:val="center"/>
              <w:rPr/>
            </w:pPr>
            <w:r>
              <w:rPr>
                <w:rStyle w:val="StrongEmphasis"/>
              </w:rPr>
              <w:t>Change</w:t>
            </w:r>
          </w:p>
        </w:tc>
        <w:tc>
          <w:tcPr>
            <w:tcW w:w="146" w:type="dxa"/>
            <w:tcBorders/>
            <w:vAlign w:val="center"/>
          </w:tcPr>
          <w:p>
            <w:pPr>
              <w:pStyle w:val="TableContents"/>
              <w:bidi w:val="0"/>
              <w:spacing w:before="0" w:after="283"/>
              <w:jc w:val="center"/>
              <w:rPr/>
            </w:pPr>
            <w:r>
              <w:rPr/>
              <w:t> </w:t>
            </w:r>
          </w:p>
        </w:tc>
        <w:tc>
          <w:tcPr>
            <w:tcW w:w="1259" w:type="dxa"/>
            <w:gridSpan w:val="2"/>
            <w:tcBorders/>
            <w:vAlign w:val="center"/>
          </w:tcPr>
          <w:p>
            <w:pPr>
              <w:pStyle w:val="TableContents"/>
              <w:bidi w:val="0"/>
              <w:spacing w:before="0" w:after="283"/>
              <w:jc w:val="center"/>
              <w:rPr/>
            </w:pPr>
            <w:r>
              <w:rPr>
                <w:rStyle w:val="StrongEmphasis"/>
              </w:rPr>
              <w:t>% Change</w:t>
            </w:r>
          </w:p>
        </w:tc>
      </w:tr>
      <w:tr>
        <w:trPr/>
        <w:tc>
          <w:tcPr>
            <w:tcW w:w="4509" w:type="dxa"/>
            <w:tcBorders/>
            <w:vAlign w:val="center"/>
          </w:tcPr>
          <w:p>
            <w:pPr>
              <w:pStyle w:val="TableContents"/>
              <w:bidi w:val="0"/>
              <w:spacing w:before="0" w:after="283"/>
              <w:jc w:val="left"/>
              <w:rPr/>
            </w:pPr>
            <w:r>
              <w:rPr>
                <w:rStyle w:val="StrongEmphasis"/>
              </w:rPr>
              <w:t>(In thousands of U.S. dollars)</w:t>
            </w:r>
          </w:p>
        </w:tc>
        <w:tc>
          <w:tcPr>
            <w:tcW w:w="135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57" w:type="dxa"/>
            <w:tcBorders/>
            <w:vAlign w:val="center"/>
          </w:tcPr>
          <w:p>
            <w:pPr>
              <w:pStyle w:val="TableContents"/>
              <w:bidi w:val="0"/>
              <w:spacing w:before="0" w:after="283"/>
              <w:jc w:val="center"/>
              <w:rPr/>
            </w:pPr>
            <w:r>
              <w:rPr/>
              <w:t> </w:t>
            </w:r>
          </w:p>
        </w:tc>
        <w:tc>
          <w:tcPr>
            <w:tcW w:w="135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9" w:type="dxa"/>
            <w:tcBorders/>
            <w:vAlign w:val="center"/>
          </w:tcPr>
          <w:p>
            <w:pPr>
              <w:pStyle w:val="TableContents"/>
              <w:bidi w:val="0"/>
              <w:spacing w:before="0" w:after="283"/>
              <w:jc w:val="center"/>
              <w:rPr/>
            </w:pPr>
            <w:r>
              <w:rPr/>
              <w:t> </w:t>
            </w:r>
          </w:p>
        </w:tc>
        <w:tc>
          <w:tcPr>
            <w:tcW w:w="268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 vs. 2025</w:t>
            </w:r>
          </w:p>
        </w:tc>
      </w:tr>
      <w:tr>
        <w:trPr/>
        <w:tc>
          <w:tcPr>
            <w:tcW w:w="4509" w:type="dxa"/>
            <w:tcBorders/>
            <w:vAlign w:val="center"/>
          </w:tcPr>
          <w:p>
            <w:pPr>
              <w:pStyle w:val="TableContents"/>
              <w:bidi w:val="0"/>
              <w:spacing w:before="0" w:after="283"/>
              <w:jc w:val="left"/>
              <w:rPr/>
            </w:pPr>
            <w:r>
              <w:rPr/>
              <w:t>Net income (loss)</w:t>
            </w:r>
          </w:p>
        </w:tc>
        <w:tc>
          <w:tcPr>
            <w:tcW w:w="245" w:type="dxa"/>
            <w:tcBorders/>
            <w:vAlign w:val="center"/>
          </w:tcPr>
          <w:p>
            <w:pPr>
              <w:pStyle w:val="TableContents"/>
              <w:bidi w:val="0"/>
              <w:spacing w:before="0" w:after="283"/>
              <w:jc w:val="right"/>
              <w:rPr/>
            </w:pPr>
            <w:r>
              <w:rPr/>
              <w:t>$</w:t>
            </w:r>
          </w:p>
        </w:tc>
        <w:tc>
          <w:tcPr>
            <w:tcW w:w="912" w:type="dxa"/>
            <w:tcBorders/>
            <w:vAlign w:val="center"/>
          </w:tcPr>
          <w:p>
            <w:pPr>
              <w:pStyle w:val="TableContents"/>
              <w:bidi w:val="0"/>
              <w:spacing w:before="0" w:after="283"/>
              <w:jc w:val="right"/>
              <w:rPr/>
            </w:pPr>
            <w:r>
              <w:rPr/>
              <w:t>(40,031</w:t>
            </w:r>
          </w:p>
        </w:tc>
        <w:tc>
          <w:tcPr>
            <w:tcW w:w="195"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w:t>
            </w:r>
          </w:p>
        </w:tc>
        <w:tc>
          <w:tcPr>
            <w:tcW w:w="912" w:type="dxa"/>
            <w:tcBorders/>
            <w:vAlign w:val="center"/>
          </w:tcPr>
          <w:p>
            <w:pPr>
              <w:pStyle w:val="TableContents"/>
              <w:bidi w:val="0"/>
              <w:spacing w:before="0" w:after="283"/>
              <w:jc w:val="right"/>
              <w:rPr/>
            </w:pPr>
            <w:r>
              <w:rPr/>
              <w:t>1,513</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w:t>
            </w:r>
          </w:p>
        </w:tc>
        <w:tc>
          <w:tcPr>
            <w:tcW w:w="864" w:type="dxa"/>
            <w:tcBorders/>
            <w:vAlign w:val="center"/>
          </w:tcPr>
          <w:p>
            <w:pPr>
              <w:pStyle w:val="TableContents"/>
              <w:bidi w:val="0"/>
              <w:spacing w:before="0" w:after="283"/>
              <w:jc w:val="right"/>
              <w:rPr/>
            </w:pPr>
            <w:r>
              <w:rPr/>
              <w:t>(41,544</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(2746</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Income tax expense (recovery), net</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1,725</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(2,285</w:t>
            </w:r>
          </w:p>
        </w:tc>
        <w:tc>
          <w:tcPr>
            <w:tcW w:w="195"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4,010</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(175</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Interest expense, net</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6,480</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6,696</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(216</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(3</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Non-operating expense (income), net</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7,773</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(3,832</w:t>
            </w:r>
          </w:p>
        </w:tc>
        <w:tc>
          <w:tcPr>
            <w:tcW w:w="195"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11,605</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(303</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Amortization</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18,638</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15,561</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3,077</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20</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Stock-based compensation</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6,584</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5,052</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1,532</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30</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Change in fair value of contingent consideration</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(15,000</w:t>
            </w:r>
          </w:p>
        </w:tc>
        <w:tc>
          <w:tcPr>
            <w:tcW w:w="195"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15,000</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(100</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Project 420 business optimization</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200</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(200</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(100</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Litigation costs, net of recoveries</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787</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1,007</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(220</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(22</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Restructuring costs</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2,447</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869</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1,578</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182</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Transaction costs, net</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4,802</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400</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4,402</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1101</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Adjusted EBITDA</w:t>
            </w:r>
          </w:p>
        </w:tc>
        <w:tc>
          <w:tcPr>
            <w:tcW w:w="2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9,205</w:t>
            </w:r>
          </w:p>
        </w:tc>
        <w:tc>
          <w:tcPr>
            <w:tcW w:w="1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10,181</w:t>
            </w:r>
          </w:p>
        </w:tc>
        <w:tc>
          <w:tcPr>
            <w:tcW w:w="1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6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(976</w:t>
            </w:r>
          </w:p>
        </w:tc>
        <w:tc>
          <w:tcPr>
            <w:tcW w:w="1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w:t>
            </w:r>
          </w:p>
        </w:tc>
        <w:tc>
          <w:tcPr>
            <w:tcW w:w="42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right"/>
              <w:rPr/>
            </w:pPr>
            <w:r>
              <w:rPr/>
              <w:t> </w:t>
            </w:r>
          </w:p>
        </w:tc>
        <w:tc>
          <w:tcPr>
            <w:tcW w:w="1352" w:type="dxa"/>
            <w:gridSpan w:val="3"/>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right"/>
              <w:rPr/>
            </w:pPr>
            <w:r>
              <w:rPr/>
              <w:t> </w:t>
            </w:r>
          </w:p>
        </w:tc>
        <w:tc>
          <w:tcPr>
            <w:tcW w:w="1352" w:type="dxa"/>
            <w:gridSpan w:val="3"/>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right"/>
              <w:rPr/>
            </w:pPr>
            <w:r>
              <w:rPr/>
              <w:t> </w:t>
            </w:r>
          </w:p>
        </w:tc>
        <w:tc>
          <w:tcPr>
            <w:tcW w:w="1281"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59" w:type="dxa"/>
            <w:gridSpan w:val="2"/>
            <w:tcBorders/>
            <w:vAlign w:val="center"/>
          </w:tcPr>
          <w:p>
            <w:pPr>
              <w:pStyle w:val="TableContents"/>
              <w:bidi w:val="0"/>
              <w:spacing w:before="0" w:after="283"/>
              <w:jc w:val="right"/>
              <w:rPr/>
            </w:pPr>
            <w:r>
              <w:rPr/>
              <w:t> </w:t>
            </w:r>
          </w:p>
        </w:tc>
      </w:tr>
      <w:tr>
        <w:trPr/>
        <w:tc>
          <w:tcPr>
            <w:tcW w:w="4509" w:type="dxa"/>
            <w:tcBorders/>
            <w:vAlign w:val="center"/>
          </w:tcPr>
          <w:p>
            <w:pPr>
              <w:pStyle w:val="TableContents"/>
              <w:bidi w:val="0"/>
              <w:spacing w:before="0" w:after="283"/>
              <w:jc w:val="left"/>
              <w:rPr/>
            </w:pPr>
            <w:r>
              <w:rPr>
                <w:rStyle w:val="StrongEmphasis"/>
              </w:rPr>
              <w:t>Other Financial Information: Adjusted cash operating income (loss)</w:t>
            </w:r>
          </w:p>
        </w:tc>
        <w:tc>
          <w:tcPr>
            <w:tcW w:w="1352" w:type="dxa"/>
            <w:gridSpan w:val="3"/>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right"/>
              <w:rPr/>
            </w:pPr>
            <w:r>
              <w:rPr/>
              <w:t> </w:t>
            </w:r>
          </w:p>
        </w:tc>
        <w:tc>
          <w:tcPr>
            <w:tcW w:w="1352" w:type="dxa"/>
            <w:gridSpan w:val="3"/>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right"/>
              <w:rPr/>
            </w:pPr>
            <w:r>
              <w:rPr/>
              <w:t> </w:t>
            </w:r>
          </w:p>
        </w:tc>
        <w:tc>
          <w:tcPr>
            <w:tcW w:w="1281"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59" w:type="dxa"/>
            <w:gridSpan w:val="2"/>
            <w:tcBorders/>
            <w:vAlign w:val="center"/>
          </w:tcPr>
          <w:p>
            <w:pPr>
              <w:pStyle w:val="TableContents"/>
              <w:bidi w:val="0"/>
              <w:spacing w:before="0" w:after="283"/>
              <w:jc w:val="right"/>
              <w:rPr/>
            </w:pPr>
            <w:r>
              <w:rPr/>
              <w:t> </w:t>
            </w:r>
          </w:p>
        </w:tc>
      </w:tr>
      <w:tr>
        <w:trPr/>
        <w:tc>
          <w:tcPr>
            <w:tcW w:w="4509" w:type="dxa"/>
            <w:tcBorders/>
            <w:vAlign w:val="center"/>
          </w:tcPr>
          <w:p>
            <w:pPr>
              <w:pStyle w:val="TableContents"/>
              <w:bidi w:val="0"/>
              <w:spacing w:before="0" w:after="283"/>
              <w:jc w:val="left"/>
              <w:rPr/>
            </w:pPr>
            <w:r>
              <w:rPr/>
              <w:t> </w:t>
            </w:r>
          </w:p>
        </w:tc>
        <w:tc>
          <w:tcPr>
            <w:tcW w:w="2861" w:type="dxa"/>
            <w:gridSpan w:val="7"/>
            <w:tcBorders/>
            <w:vAlign w:val="center"/>
          </w:tcPr>
          <w:p>
            <w:pPr>
              <w:pStyle w:val="TableContents"/>
              <w:bidi w:val="0"/>
              <w:spacing w:before="0" w:after="283"/>
              <w:jc w:val="center"/>
              <w:rPr/>
            </w:pPr>
            <w:r>
              <w:rPr>
                <w:rStyle w:val="StrongEmphasis"/>
              </w:rPr>
              <w:t>For the three months ended</w:t>
            </w:r>
          </w:p>
        </w:tc>
        <w:tc>
          <w:tcPr>
            <w:tcW w:w="149" w:type="dxa"/>
            <w:tcBorders/>
            <w:vAlign w:val="center"/>
          </w:tcPr>
          <w:p>
            <w:pPr>
              <w:pStyle w:val="TableContents"/>
              <w:bidi w:val="0"/>
              <w:spacing w:before="0" w:after="283"/>
              <w:jc w:val="right"/>
              <w:rPr/>
            </w:pPr>
            <w:r>
              <w:rPr/>
              <w:t> </w:t>
            </w:r>
          </w:p>
        </w:tc>
        <w:tc>
          <w:tcPr>
            <w:tcW w:w="1281"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59" w:type="dxa"/>
            <w:gridSpan w:val="2"/>
            <w:tcBorders/>
            <w:vAlign w:val="center"/>
          </w:tcPr>
          <w:p>
            <w:pPr>
              <w:pStyle w:val="TableContents"/>
              <w:bidi w:val="0"/>
              <w:spacing w:before="0" w:after="283"/>
              <w:jc w:val="right"/>
              <w:rPr/>
            </w:pPr>
            <w:r>
              <w:rPr/>
              <w:t> </w:t>
            </w:r>
          </w:p>
        </w:tc>
      </w:tr>
      <w:tr>
        <w:trPr/>
        <w:tc>
          <w:tcPr>
            <w:tcW w:w="4509" w:type="dxa"/>
            <w:tcBorders/>
            <w:vAlign w:val="center"/>
          </w:tcPr>
          <w:p>
            <w:pPr>
              <w:pStyle w:val="TableContents"/>
              <w:bidi w:val="0"/>
              <w:spacing w:before="0" w:after="283"/>
              <w:jc w:val="left"/>
              <w:rPr/>
            </w:pPr>
            <w:r>
              <w:rPr/>
              <w:t> </w:t>
            </w:r>
          </w:p>
        </w:tc>
        <w:tc>
          <w:tcPr>
            <w:tcW w:w="1352" w:type="dxa"/>
            <w:gridSpan w:val="3"/>
            <w:tcBorders/>
            <w:vAlign w:val="center"/>
          </w:tcPr>
          <w:p>
            <w:pPr>
              <w:pStyle w:val="TableContents"/>
              <w:bidi w:val="0"/>
              <w:spacing w:before="0" w:after="283"/>
              <w:jc w:val="center"/>
              <w:rPr/>
            </w:pPr>
            <w:r>
              <w:rPr>
                <w:rStyle w:val="StrongEmphasis"/>
              </w:rPr>
              <w:t>August 31,</w:t>
            </w:r>
          </w:p>
        </w:tc>
        <w:tc>
          <w:tcPr>
            <w:tcW w:w="157" w:type="dxa"/>
            <w:tcBorders/>
            <w:vAlign w:val="center"/>
          </w:tcPr>
          <w:p>
            <w:pPr>
              <w:pStyle w:val="TableContents"/>
              <w:bidi w:val="0"/>
              <w:spacing w:before="0" w:after="283"/>
              <w:jc w:val="center"/>
              <w:rPr/>
            </w:pPr>
            <w:r>
              <w:rPr/>
              <w:t> </w:t>
            </w:r>
          </w:p>
        </w:tc>
        <w:tc>
          <w:tcPr>
            <w:tcW w:w="1352" w:type="dxa"/>
            <w:gridSpan w:val="3"/>
            <w:tcBorders/>
            <w:vAlign w:val="center"/>
          </w:tcPr>
          <w:p>
            <w:pPr>
              <w:pStyle w:val="TableContents"/>
              <w:bidi w:val="0"/>
              <w:spacing w:before="0" w:after="283"/>
              <w:jc w:val="center"/>
              <w:rPr/>
            </w:pPr>
            <w:r>
              <w:rPr>
                <w:rStyle w:val="StrongEmphasis"/>
              </w:rPr>
              <w:t>August 31,</w:t>
            </w:r>
          </w:p>
        </w:tc>
        <w:tc>
          <w:tcPr>
            <w:tcW w:w="149" w:type="dxa"/>
            <w:tcBorders/>
            <w:vAlign w:val="center"/>
          </w:tcPr>
          <w:p>
            <w:pPr>
              <w:pStyle w:val="TableContents"/>
              <w:bidi w:val="0"/>
              <w:spacing w:before="0" w:after="283"/>
              <w:jc w:val="center"/>
              <w:rPr/>
            </w:pPr>
            <w:r>
              <w:rPr/>
              <w:t> </w:t>
            </w:r>
          </w:p>
        </w:tc>
        <w:tc>
          <w:tcPr>
            <w:tcW w:w="1281" w:type="dxa"/>
            <w:gridSpan w:val="3"/>
            <w:tcBorders/>
            <w:vAlign w:val="center"/>
          </w:tcPr>
          <w:p>
            <w:pPr>
              <w:pStyle w:val="TableContents"/>
              <w:bidi w:val="0"/>
              <w:spacing w:before="0" w:after="283"/>
              <w:jc w:val="center"/>
              <w:rPr/>
            </w:pPr>
            <w:r>
              <w:rPr>
                <w:rStyle w:val="StrongEmphasis"/>
              </w:rPr>
              <w:t>Change</w:t>
            </w:r>
          </w:p>
        </w:tc>
        <w:tc>
          <w:tcPr>
            <w:tcW w:w="146" w:type="dxa"/>
            <w:tcBorders/>
            <w:vAlign w:val="center"/>
          </w:tcPr>
          <w:p>
            <w:pPr>
              <w:pStyle w:val="TableContents"/>
              <w:bidi w:val="0"/>
              <w:spacing w:before="0" w:after="283"/>
              <w:jc w:val="center"/>
              <w:rPr/>
            </w:pPr>
            <w:r>
              <w:rPr/>
              <w:t> </w:t>
            </w:r>
          </w:p>
        </w:tc>
        <w:tc>
          <w:tcPr>
            <w:tcW w:w="1259" w:type="dxa"/>
            <w:gridSpan w:val="2"/>
            <w:tcBorders/>
            <w:vAlign w:val="center"/>
          </w:tcPr>
          <w:p>
            <w:pPr>
              <w:pStyle w:val="TableContents"/>
              <w:bidi w:val="0"/>
              <w:spacing w:before="0" w:after="283"/>
              <w:jc w:val="center"/>
              <w:rPr/>
            </w:pPr>
            <w:r>
              <w:rPr>
                <w:rStyle w:val="StrongEmphasis"/>
              </w:rPr>
              <w:t>% Change</w:t>
            </w:r>
          </w:p>
        </w:tc>
      </w:tr>
      <w:tr>
        <w:trPr/>
        <w:tc>
          <w:tcPr>
            <w:tcW w:w="4509" w:type="dxa"/>
            <w:tcBorders/>
            <w:vAlign w:val="center"/>
          </w:tcPr>
          <w:p>
            <w:pPr>
              <w:pStyle w:val="TableContents"/>
              <w:bidi w:val="0"/>
              <w:spacing w:before="0" w:after="283"/>
              <w:jc w:val="left"/>
              <w:rPr/>
            </w:pPr>
            <w:r>
              <w:rPr/>
              <w:t> </w:t>
            </w:r>
          </w:p>
        </w:tc>
        <w:tc>
          <w:tcPr>
            <w:tcW w:w="135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57" w:type="dxa"/>
            <w:tcBorders/>
            <w:vAlign w:val="center"/>
          </w:tcPr>
          <w:p>
            <w:pPr>
              <w:pStyle w:val="TableContents"/>
              <w:bidi w:val="0"/>
              <w:spacing w:before="0" w:after="283"/>
              <w:jc w:val="center"/>
              <w:rPr/>
            </w:pPr>
            <w:r>
              <w:rPr/>
              <w:t> </w:t>
            </w:r>
          </w:p>
        </w:tc>
        <w:tc>
          <w:tcPr>
            <w:tcW w:w="135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9" w:type="dxa"/>
            <w:tcBorders/>
            <w:vAlign w:val="center"/>
          </w:tcPr>
          <w:p>
            <w:pPr>
              <w:pStyle w:val="TableContents"/>
              <w:bidi w:val="0"/>
              <w:spacing w:before="0" w:after="283"/>
              <w:jc w:val="center"/>
              <w:rPr/>
            </w:pPr>
            <w:r>
              <w:rPr/>
              <w:t> </w:t>
            </w:r>
          </w:p>
        </w:tc>
        <w:tc>
          <w:tcPr>
            <w:tcW w:w="268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 vs. 2025</w:t>
            </w:r>
          </w:p>
        </w:tc>
      </w:tr>
      <w:tr>
        <w:trPr/>
        <w:tc>
          <w:tcPr>
            <w:tcW w:w="4509" w:type="dxa"/>
            <w:tcBorders/>
            <w:vAlign w:val="center"/>
          </w:tcPr>
          <w:p>
            <w:pPr>
              <w:pStyle w:val="TableContents"/>
              <w:bidi w:val="0"/>
              <w:spacing w:before="0" w:after="283"/>
              <w:jc w:val="left"/>
              <w:rPr/>
            </w:pPr>
            <w:r>
              <w:rPr/>
              <w:t>Operating income (loss)</w:t>
            </w:r>
          </w:p>
        </w:tc>
        <w:tc>
          <w:tcPr>
            <w:tcW w:w="245" w:type="dxa"/>
            <w:tcBorders/>
            <w:vAlign w:val="center"/>
          </w:tcPr>
          <w:p>
            <w:pPr>
              <w:pStyle w:val="TableContents"/>
              <w:bidi w:val="0"/>
              <w:spacing w:before="0" w:after="283"/>
              <w:jc w:val="right"/>
              <w:rPr/>
            </w:pPr>
            <w:r>
              <w:rPr/>
              <w:t>$</w:t>
            </w:r>
          </w:p>
        </w:tc>
        <w:tc>
          <w:tcPr>
            <w:tcW w:w="912" w:type="dxa"/>
            <w:tcBorders/>
            <w:vAlign w:val="center"/>
          </w:tcPr>
          <w:p>
            <w:pPr>
              <w:pStyle w:val="TableContents"/>
              <w:bidi w:val="0"/>
              <w:spacing w:before="0" w:after="283"/>
              <w:jc w:val="right"/>
              <w:rPr/>
            </w:pPr>
            <w:r>
              <w:rPr/>
              <w:t>(24,053</w:t>
            </w:r>
          </w:p>
        </w:tc>
        <w:tc>
          <w:tcPr>
            <w:tcW w:w="195"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w:t>
            </w:r>
          </w:p>
        </w:tc>
        <w:tc>
          <w:tcPr>
            <w:tcW w:w="912" w:type="dxa"/>
            <w:tcBorders/>
            <w:vAlign w:val="center"/>
          </w:tcPr>
          <w:p>
            <w:pPr>
              <w:pStyle w:val="TableContents"/>
              <w:bidi w:val="0"/>
              <w:spacing w:before="0" w:after="283"/>
              <w:jc w:val="right"/>
              <w:rPr/>
            </w:pPr>
            <w:r>
              <w:rPr/>
              <w:t>2,092</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w:t>
            </w:r>
          </w:p>
        </w:tc>
        <w:tc>
          <w:tcPr>
            <w:tcW w:w="864" w:type="dxa"/>
            <w:tcBorders/>
            <w:vAlign w:val="center"/>
          </w:tcPr>
          <w:p>
            <w:pPr>
              <w:pStyle w:val="TableContents"/>
              <w:bidi w:val="0"/>
              <w:spacing w:before="0" w:after="283"/>
              <w:jc w:val="right"/>
              <w:rPr/>
            </w:pPr>
            <w:r>
              <w:rPr/>
              <w:t>(26,145</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(1250</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Change in fair value of contingent consideration</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(15,000</w:t>
            </w:r>
          </w:p>
        </w:tc>
        <w:tc>
          <w:tcPr>
            <w:tcW w:w="195"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15,000</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(100</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Amortization</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18,638</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15,561</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3,077</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20</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Stock-based compensation</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6,584</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5,052</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1,532</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30</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rStyle w:val="StrongEmphasis"/>
              </w:rPr>
              <w:t>Adjusted cash operating income (loss)</w:t>
            </w:r>
          </w:p>
        </w:tc>
        <w:tc>
          <w:tcPr>
            <w:tcW w:w="2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1,169</w:t>
            </w:r>
          </w:p>
        </w:tc>
        <w:tc>
          <w:tcPr>
            <w:tcW w:w="1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7,705</w:t>
            </w:r>
          </w:p>
        </w:tc>
        <w:tc>
          <w:tcPr>
            <w:tcW w:w="1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6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(6,536</w:t>
            </w:r>
          </w:p>
        </w:tc>
        <w:tc>
          <w:tcPr>
            <w:tcW w:w="1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(85</w:t>
            </w:r>
          </w:p>
        </w:tc>
        <w:tc>
          <w:tcPr>
            <w:tcW w:w="42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right"/>
              <w:rPr/>
            </w:pPr>
            <w:r>
              <w:rPr/>
              <w:t> </w:t>
            </w:r>
          </w:p>
        </w:tc>
        <w:tc>
          <w:tcPr>
            <w:tcW w:w="1352" w:type="dxa"/>
            <w:gridSpan w:val="3"/>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right"/>
              <w:rPr/>
            </w:pPr>
            <w:r>
              <w:rPr/>
              <w:t> </w:t>
            </w:r>
          </w:p>
        </w:tc>
        <w:tc>
          <w:tcPr>
            <w:tcW w:w="1352" w:type="dxa"/>
            <w:gridSpan w:val="3"/>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right"/>
              <w:rPr/>
            </w:pPr>
            <w:r>
              <w:rPr/>
              <w:t> </w:t>
            </w:r>
          </w:p>
        </w:tc>
        <w:tc>
          <w:tcPr>
            <w:tcW w:w="1281"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59" w:type="dxa"/>
            <w:gridSpan w:val="2"/>
            <w:tcBorders/>
            <w:vAlign w:val="center"/>
          </w:tcPr>
          <w:p>
            <w:pPr>
              <w:pStyle w:val="TableContents"/>
              <w:bidi w:val="0"/>
              <w:spacing w:before="0" w:after="283"/>
              <w:jc w:val="right"/>
              <w:rPr/>
            </w:pPr>
            <w:r>
              <w:rPr/>
              <w:t> </w:t>
            </w:r>
          </w:p>
        </w:tc>
      </w:tr>
      <w:tr>
        <w:trPr/>
        <w:tc>
          <w:tcPr>
            <w:tcW w:w="8800" w:type="dxa"/>
            <w:gridSpan w:val="12"/>
            <w:tcBorders/>
            <w:vAlign w:val="center"/>
          </w:tcPr>
          <w:p>
            <w:pPr>
              <w:pStyle w:val="TableContents"/>
              <w:bidi w:val="0"/>
              <w:spacing w:before="0" w:after="283"/>
              <w:jc w:val="left"/>
              <w:rPr/>
            </w:pPr>
            <w:r>
              <w:rPr>
                <w:rStyle w:val="StrongEmphasis"/>
              </w:rPr>
              <w:t>Other Financial Information: Adjusted net income (loss) and Adjusted net income (loss) per share ("Adjusted EPS")</w:t>
            </w:r>
          </w:p>
        </w:tc>
        <w:tc>
          <w:tcPr>
            <w:tcW w:w="146" w:type="dxa"/>
            <w:tcBorders/>
            <w:vAlign w:val="center"/>
          </w:tcPr>
          <w:p>
            <w:pPr>
              <w:pStyle w:val="TableContents"/>
              <w:bidi w:val="0"/>
              <w:spacing w:before="0" w:after="283"/>
              <w:jc w:val="right"/>
              <w:rPr/>
            </w:pPr>
            <w:r>
              <w:rPr/>
              <w:t> </w:t>
            </w:r>
          </w:p>
        </w:tc>
        <w:tc>
          <w:tcPr>
            <w:tcW w:w="1259" w:type="dxa"/>
            <w:gridSpan w:val="2"/>
            <w:tcBorders/>
            <w:vAlign w:val="center"/>
          </w:tcPr>
          <w:p>
            <w:pPr>
              <w:pStyle w:val="TableContents"/>
              <w:bidi w:val="0"/>
              <w:spacing w:before="0" w:after="283"/>
              <w:jc w:val="right"/>
              <w:rPr/>
            </w:pPr>
            <w:r>
              <w:rPr/>
              <w:t> </w:t>
            </w:r>
          </w:p>
        </w:tc>
      </w:tr>
      <w:tr>
        <w:trPr/>
        <w:tc>
          <w:tcPr>
            <w:tcW w:w="4509" w:type="dxa"/>
            <w:tcBorders/>
            <w:vAlign w:val="center"/>
          </w:tcPr>
          <w:p>
            <w:pPr>
              <w:pStyle w:val="TableContents"/>
              <w:bidi w:val="0"/>
              <w:spacing w:before="0" w:after="283"/>
              <w:jc w:val="right"/>
              <w:rPr/>
            </w:pPr>
            <w:r>
              <w:rPr/>
              <w:t> </w:t>
            </w:r>
          </w:p>
        </w:tc>
        <w:tc>
          <w:tcPr>
            <w:tcW w:w="1352" w:type="dxa"/>
            <w:gridSpan w:val="3"/>
            <w:tcBorders/>
            <w:vAlign w:val="center"/>
          </w:tcPr>
          <w:p>
            <w:pPr>
              <w:pStyle w:val="TableContents"/>
              <w:bidi w:val="0"/>
              <w:spacing w:before="0" w:after="283"/>
              <w:jc w:val="center"/>
              <w:rPr/>
            </w:pPr>
            <w:r>
              <w:rPr>
                <w:rStyle w:val="StrongEmphasis"/>
              </w:rPr>
              <w:t>August 31,</w:t>
            </w:r>
          </w:p>
        </w:tc>
        <w:tc>
          <w:tcPr>
            <w:tcW w:w="157" w:type="dxa"/>
            <w:tcBorders/>
            <w:vAlign w:val="center"/>
          </w:tcPr>
          <w:p>
            <w:pPr>
              <w:pStyle w:val="TableContents"/>
              <w:bidi w:val="0"/>
              <w:spacing w:before="0" w:after="283"/>
              <w:jc w:val="center"/>
              <w:rPr/>
            </w:pPr>
            <w:r>
              <w:rPr/>
              <w:t> </w:t>
            </w:r>
          </w:p>
        </w:tc>
        <w:tc>
          <w:tcPr>
            <w:tcW w:w="1352" w:type="dxa"/>
            <w:gridSpan w:val="3"/>
            <w:tcBorders/>
            <w:vAlign w:val="center"/>
          </w:tcPr>
          <w:p>
            <w:pPr>
              <w:pStyle w:val="TableContents"/>
              <w:bidi w:val="0"/>
              <w:spacing w:before="0" w:after="283"/>
              <w:jc w:val="center"/>
              <w:rPr/>
            </w:pPr>
            <w:r>
              <w:rPr>
                <w:rStyle w:val="StrongEmphasis"/>
              </w:rPr>
              <w:t>August 31,</w:t>
            </w:r>
          </w:p>
        </w:tc>
        <w:tc>
          <w:tcPr>
            <w:tcW w:w="149" w:type="dxa"/>
            <w:tcBorders/>
            <w:vAlign w:val="center"/>
          </w:tcPr>
          <w:p>
            <w:pPr>
              <w:pStyle w:val="TableContents"/>
              <w:bidi w:val="0"/>
              <w:spacing w:before="0" w:after="283"/>
              <w:jc w:val="right"/>
              <w:rPr/>
            </w:pPr>
            <w:r>
              <w:rPr/>
              <w:t> </w:t>
            </w:r>
          </w:p>
        </w:tc>
        <w:tc>
          <w:tcPr>
            <w:tcW w:w="1281" w:type="dxa"/>
            <w:gridSpan w:val="3"/>
            <w:tcBorders/>
            <w:vAlign w:val="center"/>
          </w:tcPr>
          <w:p>
            <w:pPr>
              <w:pStyle w:val="TableContents"/>
              <w:bidi w:val="0"/>
              <w:spacing w:before="0" w:after="283"/>
              <w:jc w:val="center"/>
              <w:rPr/>
            </w:pPr>
            <w:r>
              <w:rPr>
                <w:rStyle w:val="StrongEmphasis"/>
              </w:rPr>
              <w:t>Change</w:t>
            </w:r>
          </w:p>
        </w:tc>
        <w:tc>
          <w:tcPr>
            <w:tcW w:w="146" w:type="dxa"/>
            <w:tcBorders/>
            <w:vAlign w:val="center"/>
          </w:tcPr>
          <w:p>
            <w:pPr>
              <w:pStyle w:val="TableContents"/>
              <w:bidi w:val="0"/>
              <w:spacing w:before="0" w:after="283"/>
              <w:jc w:val="center"/>
              <w:rPr/>
            </w:pPr>
            <w:r>
              <w:rPr/>
              <w:t> </w:t>
            </w:r>
          </w:p>
        </w:tc>
        <w:tc>
          <w:tcPr>
            <w:tcW w:w="1259" w:type="dxa"/>
            <w:gridSpan w:val="2"/>
            <w:tcBorders/>
            <w:vAlign w:val="center"/>
          </w:tcPr>
          <w:p>
            <w:pPr>
              <w:pStyle w:val="TableContents"/>
              <w:bidi w:val="0"/>
              <w:spacing w:before="0" w:after="283"/>
              <w:jc w:val="center"/>
              <w:rPr/>
            </w:pPr>
            <w:r>
              <w:rPr>
                <w:rStyle w:val="StrongEmphasis"/>
              </w:rPr>
              <w:t>% Change</w:t>
            </w:r>
          </w:p>
        </w:tc>
      </w:tr>
      <w:tr>
        <w:trPr/>
        <w:tc>
          <w:tcPr>
            <w:tcW w:w="4509" w:type="dxa"/>
            <w:tcBorders/>
            <w:vAlign w:val="center"/>
          </w:tcPr>
          <w:p>
            <w:pPr>
              <w:pStyle w:val="TableContents"/>
              <w:bidi w:val="0"/>
              <w:spacing w:before="0" w:after="283"/>
              <w:jc w:val="right"/>
              <w:rPr/>
            </w:pPr>
            <w:r>
              <w:rPr/>
              <w:t> </w:t>
            </w:r>
          </w:p>
        </w:tc>
        <w:tc>
          <w:tcPr>
            <w:tcW w:w="135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57" w:type="dxa"/>
            <w:tcBorders/>
            <w:vAlign w:val="center"/>
          </w:tcPr>
          <w:p>
            <w:pPr>
              <w:pStyle w:val="TableContents"/>
              <w:bidi w:val="0"/>
              <w:spacing w:before="0" w:after="283"/>
              <w:jc w:val="center"/>
              <w:rPr/>
            </w:pPr>
            <w:r>
              <w:rPr/>
              <w:t> </w:t>
            </w:r>
          </w:p>
        </w:tc>
        <w:tc>
          <w:tcPr>
            <w:tcW w:w="135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9" w:type="dxa"/>
            <w:tcBorders/>
            <w:vAlign w:val="center"/>
          </w:tcPr>
          <w:p>
            <w:pPr>
              <w:pStyle w:val="TableContents"/>
              <w:bidi w:val="0"/>
              <w:spacing w:before="0" w:after="283"/>
              <w:jc w:val="right"/>
              <w:rPr/>
            </w:pPr>
            <w:r>
              <w:rPr/>
              <w:t> </w:t>
            </w:r>
          </w:p>
        </w:tc>
        <w:tc>
          <w:tcPr>
            <w:tcW w:w="268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Change</w:t>
            </w:r>
          </w:p>
        </w:tc>
      </w:tr>
      <w:tr>
        <w:trPr/>
        <w:tc>
          <w:tcPr>
            <w:tcW w:w="4509" w:type="dxa"/>
            <w:tcBorders/>
            <w:vAlign w:val="center"/>
          </w:tcPr>
          <w:p>
            <w:pPr>
              <w:pStyle w:val="TableContents"/>
              <w:bidi w:val="0"/>
              <w:spacing w:before="0" w:after="283"/>
              <w:jc w:val="left"/>
              <w:rPr/>
            </w:pPr>
            <w:r>
              <w:rPr/>
              <w:t>Net loss attributable to stockholders of Tilray Brands, Inc.</w:t>
            </w:r>
          </w:p>
        </w:tc>
        <w:tc>
          <w:tcPr>
            <w:tcW w:w="245" w:type="dxa"/>
            <w:tcBorders/>
            <w:vAlign w:val="center"/>
          </w:tcPr>
          <w:p>
            <w:pPr>
              <w:pStyle w:val="TableContents"/>
              <w:bidi w:val="0"/>
              <w:spacing w:before="0" w:after="283"/>
              <w:jc w:val="right"/>
              <w:rPr/>
            </w:pPr>
            <w:r>
              <w:rPr/>
              <w:t>$</w:t>
            </w:r>
          </w:p>
        </w:tc>
        <w:tc>
          <w:tcPr>
            <w:tcW w:w="912" w:type="dxa"/>
            <w:tcBorders/>
            <w:vAlign w:val="center"/>
          </w:tcPr>
          <w:p>
            <w:pPr>
              <w:pStyle w:val="TableContents"/>
              <w:bidi w:val="0"/>
              <w:spacing w:before="0" w:after="283"/>
              <w:jc w:val="right"/>
              <w:rPr/>
            </w:pPr>
            <w:r>
              <w:rPr/>
              <w:t>(43,141</w:t>
            </w:r>
          </w:p>
        </w:tc>
        <w:tc>
          <w:tcPr>
            <w:tcW w:w="195"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w:t>
            </w:r>
          </w:p>
        </w:tc>
        <w:tc>
          <w:tcPr>
            <w:tcW w:w="912" w:type="dxa"/>
            <w:tcBorders/>
            <w:vAlign w:val="center"/>
          </w:tcPr>
          <w:p>
            <w:pPr>
              <w:pStyle w:val="TableContents"/>
              <w:bidi w:val="0"/>
              <w:spacing w:before="0" w:after="283"/>
              <w:jc w:val="right"/>
              <w:rPr/>
            </w:pPr>
            <w:r>
              <w:rPr/>
              <w:t>(322</w:t>
            </w:r>
          </w:p>
        </w:tc>
        <w:tc>
          <w:tcPr>
            <w:tcW w:w="195"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w:t>
            </w:r>
          </w:p>
        </w:tc>
        <w:tc>
          <w:tcPr>
            <w:tcW w:w="864" w:type="dxa"/>
            <w:tcBorders/>
            <w:vAlign w:val="center"/>
          </w:tcPr>
          <w:p>
            <w:pPr>
              <w:pStyle w:val="TableContents"/>
              <w:bidi w:val="0"/>
              <w:spacing w:before="0" w:after="283"/>
              <w:jc w:val="right"/>
              <w:rPr/>
            </w:pPr>
            <w:r>
              <w:rPr/>
              <w:t>(42,819</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13298</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Non-operating expense (income), net</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7,773</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(3,832</w:t>
            </w:r>
          </w:p>
        </w:tc>
        <w:tc>
          <w:tcPr>
            <w:tcW w:w="195"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11,605</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(303</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Amortization</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18,638</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15,561</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3,077</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20</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Stock-based compensation</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6,584</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5,052</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1,532</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30</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Deferred income tax expense (benefits), net</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(2,344</w:t>
            </w:r>
          </w:p>
        </w:tc>
        <w:tc>
          <w:tcPr>
            <w:tcW w:w="195"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(2,537</w:t>
            </w:r>
          </w:p>
        </w:tc>
        <w:tc>
          <w:tcPr>
            <w:tcW w:w="195"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193</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(8</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Accretion of convertible debt discount</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1,465</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1,976</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(511</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(26</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Change in fair value of contingent consideration</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(15,000</w:t>
            </w:r>
          </w:p>
        </w:tc>
        <w:tc>
          <w:tcPr>
            <w:tcW w:w="195"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15,000</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(100</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Project 420 business optimization</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200</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(200</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(100</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Litigation costs, net of recoveries</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787</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1,007</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(220</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(22</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Restructuring costs</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2,447</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869</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1,578</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182</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Transaction costs, net</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4,802</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400</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4,402</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1101</w:t>
            </w:r>
          </w:p>
        </w:tc>
        <w:tc>
          <w:tcPr>
            <w:tcW w:w="42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Adjusted net income (loss)</w:t>
            </w:r>
          </w:p>
        </w:tc>
        <w:tc>
          <w:tcPr>
            <w:tcW w:w="2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(2,989</w:t>
            </w:r>
          </w:p>
        </w:tc>
        <w:tc>
          <w:tcPr>
            <w:tcW w:w="1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 </w:t>
            </w:r>
          </w:p>
        </w:tc>
        <w:tc>
          <w:tcPr>
            <w:tcW w:w="2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3,374</w:t>
            </w:r>
          </w:p>
        </w:tc>
        <w:tc>
          <w:tcPr>
            <w:tcW w:w="1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6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(6,363</w:t>
            </w:r>
          </w:p>
        </w:tc>
        <w:tc>
          <w:tcPr>
            <w:tcW w:w="1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(189</w:t>
            </w:r>
          </w:p>
        </w:tc>
        <w:tc>
          <w:tcPr>
            <w:tcW w:w="42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Adjusted net income (loss) per share - basic and diluted</w:t>
            </w:r>
          </w:p>
        </w:tc>
        <w:tc>
          <w:tcPr>
            <w:tcW w:w="2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(0.02</w:t>
            </w:r>
          </w:p>
        </w:tc>
        <w:tc>
          <w:tcPr>
            <w:tcW w:w="1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 </w:t>
            </w:r>
          </w:p>
        </w:tc>
        <w:tc>
          <w:tcPr>
            <w:tcW w:w="2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0.03</w:t>
            </w:r>
          </w:p>
        </w:tc>
        <w:tc>
          <w:tcPr>
            <w:tcW w:w="1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6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(0.05</w:t>
            </w:r>
          </w:p>
        </w:tc>
        <w:tc>
          <w:tcPr>
            <w:tcW w:w="1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(167</w:t>
            </w:r>
          </w:p>
        </w:tc>
        <w:tc>
          <w:tcPr>
            <w:tcW w:w="42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right"/>
              <w:rPr/>
            </w:pPr>
            <w:r>
              <w:rPr/>
              <w:t> </w:t>
            </w:r>
          </w:p>
        </w:tc>
        <w:tc>
          <w:tcPr>
            <w:tcW w:w="1352" w:type="dxa"/>
            <w:gridSpan w:val="3"/>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right"/>
              <w:rPr/>
            </w:pPr>
            <w:r>
              <w:rPr/>
              <w:t> </w:t>
            </w:r>
          </w:p>
        </w:tc>
        <w:tc>
          <w:tcPr>
            <w:tcW w:w="1352" w:type="dxa"/>
            <w:gridSpan w:val="3"/>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right"/>
              <w:rPr/>
            </w:pPr>
            <w:r>
              <w:rPr/>
              <w:t> </w:t>
            </w:r>
          </w:p>
        </w:tc>
        <w:tc>
          <w:tcPr>
            <w:tcW w:w="1281"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59" w:type="dxa"/>
            <w:gridSpan w:val="2"/>
            <w:tcBorders/>
            <w:vAlign w:val="center"/>
          </w:tcPr>
          <w:p>
            <w:pPr>
              <w:pStyle w:val="TableContents"/>
              <w:bidi w:val="0"/>
              <w:spacing w:before="0" w:after="283"/>
              <w:jc w:val="right"/>
              <w:rPr/>
            </w:pPr>
            <w:r>
              <w:rPr/>
              <w:t> </w:t>
            </w:r>
          </w:p>
        </w:tc>
      </w:tr>
      <w:tr>
        <w:trPr/>
        <w:tc>
          <w:tcPr>
            <w:tcW w:w="4509" w:type="dxa"/>
            <w:tcBorders/>
            <w:vAlign w:val="center"/>
          </w:tcPr>
          <w:p>
            <w:pPr>
              <w:pStyle w:val="TableContents"/>
              <w:bidi w:val="0"/>
              <w:spacing w:before="0" w:after="283"/>
              <w:jc w:val="left"/>
              <w:rPr/>
            </w:pPr>
            <w:r>
              <w:rPr>
                <w:rStyle w:val="StrongEmphasis"/>
              </w:rPr>
              <w:t>Other Financial Information: Free Cash Flow</w:t>
            </w:r>
          </w:p>
        </w:tc>
        <w:tc>
          <w:tcPr>
            <w:tcW w:w="1352" w:type="dxa"/>
            <w:gridSpan w:val="3"/>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right"/>
              <w:rPr/>
            </w:pPr>
            <w:r>
              <w:rPr/>
              <w:t> </w:t>
            </w:r>
          </w:p>
        </w:tc>
        <w:tc>
          <w:tcPr>
            <w:tcW w:w="1352" w:type="dxa"/>
            <w:gridSpan w:val="3"/>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right"/>
              <w:rPr/>
            </w:pPr>
            <w:r>
              <w:rPr/>
              <w:t> </w:t>
            </w:r>
          </w:p>
        </w:tc>
        <w:tc>
          <w:tcPr>
            <w:tcW w:w="1281"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59" w:type="dxa"/>
            <w:gridSpan w:val="2"/>
            <w:tcBorders/>
            <w:vAlign w:val="center"/>
          </w:tcPr>
          <w:p>
            <w:pPr>
              <w:pStyle w:val="TableContents"/>
              <w:bidi w:val="0"/>
              <w:spacing w:before="0" w:after="283"/>
              <w:jc w:val="right"/>
              <w:rPr/>
            </w:pPr>
            <w:r>
              <w:rPr/>
              <w:t> </w:t>
            </w:r>
          </w:p>
        </w:tc>
      </w:tr>
      <w:tr>
        <w:trPr/>
        <w:tc>
          <w:tcPr>
            <w:tcW w:w="4509" w:type="dxa"/>
            <w:tcBorders/>
            <w:vAlign w:val="center"/>
          </w:tcPr>
          <w:p>
            <w:pPr>
              <w:pStyle w:val="TableContents"/>
              <w:bidi w:val="0"/>
              <w:spacing w:before="0" w:after="283"/>
              <w:jc w:val="right"/>
              <w:rPr/>
            </w:pPr>
            <w:r>
              <w:rPr/>
              <w:t> </w:t>
            </w:r>
          </w:p>
        </w:tc>
        <w:tc>
          <w:tcPr>
            <w:tcW w:w="2861" w:type="dxa"/>
            <w:gridSpan w:val="7"/>
            <w:tcBorders/>
            <w:vAlign w:val="center"/>
          </w:tcPr>
          <w:p>
            <w:pPr>
              <w:pStyle w:val="TableContents"/>
              <w:bidi w:val="0"/>
              <w:spacing w:before="0" w:after="283"/>
              <w:jc w:val="center"/>
              <w:rPr/>
            </w:pPr>
            <w:r>
              <w:rPr>
                <w:rStyle w:val="StrongEmphasis"/>
              </w:rPr>
              <w:t>For the three months ended</w:t>
            </w:r>
          </w:p>
        </w:tc>
        <w:tc>
          <w:tcPr>
            <w:tcW w:w="149" w:type="dxa"/>
            <w:tcBorders/>
            <w:vAlign w:val="center"/>
          </w:tcPr>
          <w:p>
            <w:pPr>
              <w:pStyle w:val="TableContents"/>
              <w:bidi w:val="0"/>
              <w:spacing w:before="0" w:after="283"/>
              <w:jc w:val="right"/>
              <w:rPr/>
            </w:pPr>
            <w:r>
              <w:rPr/>
              <w:t> </w:t>
            </w:r>
          </w:p>
        </w:tc>
        <w:tc>
          <w:tcPr>
            <w:tcW w:w="1281"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59" w:type="dxa"/>
            <w:gridSpan w:val="2"/>
            <w:tcBorders/>
            <w:vAlign w:val="center"/>
          </w:tcPr>
          <w:p>
            <w:pPr>
              <w:pStyle w:val="TableContents"/>
              <w:bidi w:val="0"/>
              <w:spacing w:before="0" w:after="283"/>
              <w:jc w:val="right"/>
              <w:rPr/>
            </w:pPr>
            <w:r>
              <w:rPr/>
              <w:t> </w:t>
            </w:r>
          </w:p>
        </w:tc>
      </w:tr>
      <w:tr>
        <w:trPr/>
        <w:tc>
          <w:tcPr>
            <w:tcW w:w="4509" w:type="dxa"/>
            <w:tcBorders/>
            <w:vAlign w:val="center"/>
          </w:tcPr>
          <w:p>
            <w:pPr>
              <w:pStyle w:val="TableContents"/>
              <w:bidi w:val="0"/>
              <w:spacing w:before="0" w:after="283"/>
              <w:jc w:val="right"/>
              <w:rPr/>
            </w:pPr>
            <w:r>
              <w:rPr/>
              <w:t> </w:t>
            </w:r>
          </w:p>
        </w:tc>
        <w:tc>
          <w:tcPr>
            <w:tcW w:w="1352" w:type="dxa"/>
            <w:gridSpan w:val="3"/>
            <w:tcBorders/>
            <w:vAlign w:val="center"/>
          </w:tcPr>
          <w:p>
            <w:pPr>
              <w:pStyle w:val="TableContents"/>
              <w:bidi w:val="0"/>
              <w:spacing w:before="0" w:after="283"/>
              <w:jc w:val="center"/>
              <w:rPr/>
            </w:pPr>
            <w:r>
              <w:rPr>
                <w:rStyle w:val="StrongEmphasis"/>
              </w:rPr>
              <w:t>August 31,</w:t>
            </w:r>
          </w:p>
        </w:tc>
        <w:tc>
          <w:tcPr>
            <w:tcW w:w="157" w:type="dxa"/>
            <w:tcBorders/>
            <w:vAlign w:val="center"/>
          </w:tcPr>
          <w:p>
            <w:pPr>
              <w:pStyle w:val="TableContents"/>
              <w:bidi w:val="0"/>
              <w:spacing w:before="0" w:after="283"/>
              <w:jc w:val="center"/>
              <w:rPr/>
            </w:pPr>
            <w:r>
              <w:rPr/>
              <w:t> </w:t>
            </w:r>
          </w:p>
        </w:tc>
        <w:tc>
          <w:tcPr>
            <w:tcW w:w="1352" w:type="dxa"/>
            <w:gridSpan w:val="3"/>
            <w:tcBorders/>
            <w:vAlign w:val="center"/>
          </w:tcPr>
          <w:p>
            <w:pPr>
              <w:pStyle w:val="TableContents"/>
              <w:bidi w:val="0"/>
              <w:spacing w:before="0" w:after="283"/>
              <w:jc w:val="center"/>
              <w:rPr/>
            </w:pPr>
            <w:r>
              <w:rPr>
                <w:rStyle w:val="StrongEmphasis"/>
              </w:rPr>
              <w:t>August 31,</w:t>
            </w:r>
          </w:p>
        </w:tc>
        <w:tc>
          <w:tcPr>
            <w:tcW w:w="149" w:type="dxa"/>
            <w:tcBorders/>
            <w:vAlign w:val="center"/>
          </w:tcPr>
          <w:p>
            <w:pPr>
              <w:pStyle w:val="TableContents"/>
              <w:bidi w:val="0"/>
              <w:spacing w:before="0" w:after="283"/>
              <w:jc w:val="right"/>
              <w:rPr/>
            </w:pPr>
            <w:r>
              <w:rPr/>
              <w:t> </w:t>
            </w:r>
          </w:p>
        </w:tc>
        <w:tc>
          <w:tcPr>
            <w:tcW w:w="1281" w:type="dxa"/>
            <w:gridSpan w:val="3"/>
            <w:tcBorders/>
            <w:vAlign w:val="center"/>
          </w:tcPr>
          <w:p>
            <w:pPr>
              <w:pStyle w:val="TableContents"/>
              <w:bidi w:val="0"/>
              <w:spacing w:before="0" w:after="283"/>
              <w:jc w:val="center"/>
              <w:rPr/>
            </w:pPr>
            <w:r>
              <w:rPr>
                <w:rStyle w:val="StrongEmphasis"/>
              </w:rPr>
              <w:t>Change</w:t>
            </w:r>
          </w:p>
        </w:tc>
        <w:tc>
          <w:tcPr>
            <w:tcW w:w="146" w:type="dxa"/>
            <w:tcBorders/>
            <w:vAlign w:val="center"/>
          </w:tcPr>
          <w:p>
            <w:pPr>
              <w:pStyle w:val="TableContents"/>
              <w:bidi w:val="0"/>
              <w:spacing w:before="0" w:after="283"/>
              <w:jc w:val="center"/>
              <w:rPr/>
            </w:pPr>
            <w:r>
              <w:rPr/>
              <w:t> </w:t>
            </w:r>
          </w:p>
        </w:tc>
        <w:tc>
          <w:tcPr>
            <w:tcW w:w="1259" w:type="dxa"/>
            <w:gridSpan w:val="2"/>
            <w:tcBorders/>
            <w:vAlign w:val="center"/>
          </w:tcPr>
          <w:p>
            <w:pPr>
              <w:pStyle w:val="TableContents"/>
              <w:bidi w:val="0"/>
              <w:spacing w:before="0" w:after="283"/>
              <w:jc w:val="center"/>
              <w:rPr/>
            </w:pPr>
            <w:r>
              <w:rPr>
                <w:rStyle w:val="StrongEmphasis"/>
              </w:rPr>
              <w:t>% Change</w:t>
            </w:r>
          </w:p>
        </w:tc>
      </w:tr>
      <w:tr>
        <w:trPr/>
        <w:tc>
          <w:tcPr>
            <w:tcW w:w="4509" w:type="dxa"/>
            <w:tcBorders/>
            <w:vAlign w:val="center"/>
          </w:tcPr>
          <w:p>
            <w:pPr>
              <w:pStyle w:val="TableContents"/>
              <w:bidi w:val="0"/>
              <w:spacing w:before="0" w:after="283"/>
              <w:jc w:val="left"/>
              <w:rPr/>
            </w:pPr>
            <w:r>
              <w:rPr>
                <w:rStyle w:val="StrongEmphasis"/>
              </w:rPr>
              <w:t>(In thousands of U.S. dollars)</w:t>
            </w:r>
          </w:p>
        </w:tc>
        <w:tc>
          <w:tcPr>
            <w:tcW w:w="135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57" w:type="dxa"/>
            <w:tcBorders/>
            <w:vAlign w:val="center"/>
          </w:tcPr>
          <w:p>
            <w:pPr>
              <w:pStyle w:val="TableContents"/>
              <w:bidi w:val="0"/>
              <w:spacing w:before="0" w:after="283"/>
              <w:jc w:val="center"/>
              <w:rPr/>
            </w:pPr>
            <w:r>
              <w:rPr/>
              <w:t> </w:t>
            </w:r>
          </w:p>
        </w:tc>
        <w:tc>
          <w:tcPr>
            <w:tcW w:w="135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9" w:type="dxa"/>
            <w:tcBorders/>
            <w:vAlign w:val="center"/>
          </w:tcPr>
          <w:p>
            <w:pPr>
              <w:pStyle w:val="TableContents"/>
              <w:bidi w:val="0"/>
              <w:spacing w:before="0" w:after="283"/>
              <w:jc w:val="center"/>
              <w:rPr/>
            </w:pPr>
            <w:r>
              <w:rPr/>
              <w:t> </w:t>
            </w:r>
          </w:p>
        </w:tc>
        <w:tc>
          <w:tcPr>
            <w:tcW w:w="268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 vs. 2025</w:t>
            </w:r>
          </w:p>
        </w:tc>
      </w:tr>
      <w:tr>
        <w:trPr/>
        <w:tc>
          <w:tcPr>
            <w:tcW w:w="4509" w:type="dxa"/>
            <w:tcBorders/>
            <w:vAlign w:val="center"/>
          </w:tcPr>
          <w:p>
            <w:pPr>
              <w:pStyle w:val="TableContents"/>
              <w:bidi w:val="0"/>
              <w:spacing w:before="0" w:after="283"/>
              <w:jc w:val="left"/>
              <w:rPr/>
            </w:pPr>
            <w:r>
              <w:rPr/>
              <w:t>Net cash used in operating activities</w:t>
            </w:r>
          </w:p>
        </w:tc>
        <w:tc>
          <w:tcPr>
            <w:tcW w:w="245" w:type="dxa"/>
            <w:tcBorders/>
            <w:vAlign w:val="center"/>
          </w:tcPr>
          <w:p>
            <w:pPr>
              <w:pStyle w:val="TableContents"/>
              <w:bidi w:val="0"/>
              <w:spacing w:before="0" w:after="283"/>
              <w:jc w:val="right"/>
              <w:rPr/>
            </w:pPr>
            <w:r>
              <w:rPr/>
              <w:t>$</w:t>
            </w:r>
          </w:p>
        </w:tc>
        <w:tc>
          <w:tcPr>
            <w:tcW w:w="912" w:type="dxa"/>
            <w:tcBorders/>
            <w:vAlign w:val="center"/>
          </w:tcPr>
          <w:p>
            <w:pPr>
              <w:pStyle w:val="TableContents"/>
              <w:bidi w:val="0"/>
              <w:spacing w:before="0" w:after="283"/>
              <w:jc w:val="right"/>
              <w:rPr/>
            </w:pPr>
            <w:r>
              <w:rPr/>
              <w:t>(16,541</w:t>
            </w:r>
          </w:p>
        </w:tc>
        <w:tc>
          <w:tcPr>
            <w:tcW w:w="195"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w:t>
            </w:r>
          </w:p>
        </w:tc>
        <w:tc>
          <w:tcPr>
            <w:tcW w:w="912" w:type="dxa"/>
            <w:tcBorders/>
            <w:vAlign w:val="center"/>
          </w:tcPr>
          <w:p>
            <w:pPr>
              <w:pStyle w:val="TableContents"/>
              <w:bidi w:val="0"/>
              <w:spacing w:before="0" w:after="283"/>
              <w:jc w:val="right"/>
              <w:rPr/>
            </w:pPr>
            <w:r>
              <w:rPr/>
              <w:t>(1,341</w:t>
            </w:r>
          </w:p>
        </w:tc>
        <w:tc>
          <w:tcPr>
            <w:tcW w:w="195"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w:t>
            </w:r>
          </w:p>
        </w:tc>
        <w:tc>
          <w:tcPr>
            <w:tcW w:w="864" w:type="dxa"/>
            <w:tcBorders/>
            <w:vAlign w:val="center"/>
          </w:tcPr>
          <w:p>
            <w:pPr>
              <w:pStyle w:val="TableContents"/>
              <w:bidi w:val="0"/>
              <w:spacing w:before="0" w:after="283"/>
              <w:jc w:val="right"/>
              <w:rPr/>
            </w:pPr>
            <w:r>
              <w:rPr/>
              <w:t>(15,200</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1133</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Less: investments in capital and intangible assets, net</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(10,908</w:t>
            </w:r>
          </w:p>
        </w:tc>
        <w:tc>
          <w:tcPr>
            <w:tcW w:w="195"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(9,230</w:t>
            </w:r>
          </w:p>
        </w:tc>
        <w:tc>
          <w:tcPr>
            <w:tcW w:w="195"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(1,678</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18</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Free cash flow</w:t>
            </w:r>
          </w:p>
        </w:tc>
        <w:tc>
          <w:tcPr>
            <w:tcW w:w="2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(27,449</w:t>
            </w:r>
          </w:p>
        </w:tc>
        <w:tc>
          <w:tcPr>
            <w:tcW w:w="1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 </w:t>
            </w:r>
          </w:p>
        </w:tc>
        <w:tc>
          <w:tcPr>
            <w:tcW w:w="2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(10,571</w:t>
            </w:r>
          </w:p>
        </w:tc>
        <w:tc>
          <w:tcPr>
            <w:tcW w:w="1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right"/>
              <w:rPr/>
            </w:pPr>
            <w:r>
              <w:rPr/>
              <w:t> </w:t>
            </w:r>
          </w:p>
        </w:tc>
        <w:tc>
          <w:tcPr>
            <w:tcW w:w="23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6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(16,878</w:t>
            </w:r>
          </w:p>
        </w:tc>
        <w:tc>
          <w:tcPr>
            <w:tcW w:w="1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160</w:t>
            </w:r>
          </w:p>
        </w:tc>
        <w:tc>
          <w:tcPr>
            <w:tcW w:w="42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Add: growth CAPEX</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3,025</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3,009</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16</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1</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Add: cash paid for litigation settlements</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1,000</w:t>
            </w:r>
          </w:p>
        </w:tc>
        <w:tc>
          <w:tcPr>
            <w:tcW w:w="19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2,804</w:t>
            </w:r>
          </w:p>
        </w:tc>
        <w:tc>
          <w:tcPr>
            <w:tcW w:w="19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864" w:type="dxa"/>
            <w:tcBorders/>
            <w:vAlign w:val="center"/>
          </w:tcPr>
          <w:p>
            <w:pPr>
              <w:pStyle w:val="TableContents"/>
              <w:bidi w:val="0"/>
              <w:spacing w:before="0" w:after="283"/>
              <w:jc w:val="right"/>
              <w:rPr/>
            </w:pPr>
            <w:r>
              <w:rPr/>
              <w:t>(1,804</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vAlign w:val="center"/>
          </w:tcPr>
          <w:p>
            <w:pPr>
              <w:pStyle w:val="TableContents"/>
              <w:bidi w:val="0"/>
              <w:spacing w:before="0" w:after="283"/>
              <w:jc w:val="right"/>
              <w:rPr/>
            </w:pPr>
            <w:r>
              <w:rPr/>
              <w:t>(64</w:t>
            </w:r>
          </w:p>
        </w:tc>
        <w:tc>
          <w:tcPr>
            <w:tcW w:w="423" w:type="dxa"/>
            <w:tcBorders/>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left"/>
              <w:rPr/>
            </w:pPr>
            <w:r>
              <w:rPr/>
              <w:t>Adjusted free cash flow</w:t>
            </w:r>
          </w:p>
        </w:tc>
        <w:tc>
          <w:tcPr>
            <w:tcW w:w="2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(23,424</w:t>
            </w:r>
          </w:p>
        </w:tc>
        <w:tc>
          <w:tcPr>
            <w:tcW w:w="1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 </w:t>
            </w:r>
          </w:p>
        </w:tc>
        <w:tc>
          <w:tcPr>
            <w:tcW w:w="2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(4,758</w:t>
            </w:r>
          </w:p>
        </w:tc>
        <w:tc>
          <w:tcPr>
            <w:tcW w:w="1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right"/>
              <w:rPr/>
            </w:pPr>
            <w:r>
              <w:rPr/>
              <w:t> </w:t>
            </w:r>
          </w:p>
        </w:tc>
        <w:tc>
          <w:tcPr>
            <w:tcW w:w="23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6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(18,666</w:t>
            </w:r>
          </w:p>
        </w:tc>
        <w:tc>
          <w:tcPr>
            <w:tcW w:w="1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83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392</w:t>
            </w:r>
          </w:p>
        </w:tc>
        <w:tc>
          <w:tcPr>
            <w:tcW w:w="42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4509" w:type="dxa"/>
            <w:tcBorders/>
            <w:vAlign w:val="center"/>
          </w:tcPr>
          <w:p>
            <w:pPr>
              <w:pStyle w:val="TableContents"/>
              <w:bidi w:val="0"/>
              <w:spacing w:before="0" w:after="283"/>
              <w:jc w:val="right"/>
              <w:rPr/>
            </w:pPr>
            <w:r>
              <w:rPr/>
              <w:t> </w:t>
            </w:r>
          </w:p>
        </w:tc>
        <w:tc>
          <w:tcPr>
            <w:tcW w:w="1352" w:type="dxa"/>
            <w:gridSpan w:val="3"/>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right"/>
              <w:rPr/>
            </w:pPr>
            <w:r>
              <w:rPr/>
              <w:t> </w:t>
            </w:r>
          </w:p>
        </w:tc>
        <w:tc>
          <w:tcPr>
            <w:tcW w:w="1352" w:type="dxa"/>
            <w:gridSpan w:val="3"/>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right"/>
              <w:rPr/>
            </w:pPr>
            <w:r>
              <w:rPr/>
              <w:t> </w:t>
            </w:r>
          </w:p>
        </w:tc>
        <w:tc>
          <w:tcPr>
            <w:tcW w:w="1281"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59" w:type="dxa"/>
            <w:gridSpan w:val="2"/>
            <w:tcBorders/>
            <w:vAlign w:val="center"/>
          </w:tcPr>
          <w:p>
            <w:pPr>
              <w:pStyle w:val="TableContents"/>
              <w:bidi w:val="0"/>
              <w:spacing w:before="0" w:after="283"/>
              <w:jc w:val="righ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5597</Words>
  <Characters>31179</Characters>
  <CharactersWithSpaces>37032</CharactersWithSpaces>
  <Paragraphs>3005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